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D1B33"/>
          <w:sz w:val="48"/>
        </w:rPr>
        <w:t>eSERP – GLAVNA KNJIGA</w:t>
      </w:r>
    </w:p>
    <w:p>
      <w:pPr>
        <w:jc w:val="center"/>
      </w:pPr>
      <w:r>
        <w:rPr>
          <w:i/>
          <w:color w:val="505F78"/>
          <w:sz w:val="24"/>
        </w:rPr>
        <w:t>Korisnička pomoć / uputstvo za rad</w:t>
      </w:r>
    </w:p>
    <w:p>
      <w:r>
        <w:t>Uputstvo je pripremljeno prema ekranima iz dostavljenog eSERP modula Glavna knjiga.</w:t>
      </w:r>
    </w:p>
    <w:p>
      <w:pPr>
        <w:pStyle w:val="Heading1"/>
      </w:pPr>
      <w:r>
        <w:t>1. Ulazak u Glavnu knjigu</w:t>
      </w:r>
    </w:p>
    <w:p>
      <w:r>
        <w:t>Po otvaranju modula prikazuje se početni ekran Glavne knjige sa brzim pristupom najvažnijim funkcijama i izvještajima.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413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41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1 – Početni ekran modula Glavna knjiga</w:t>
      </w:r>
    </w:p>
    <w:p>
      <w:pPr>
        <w:pStyle w:val="Heading1"/>
      </w:pPr>
      <w:r>
        <w:t>2. Glavni meni modula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95503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50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2 – Meni Unos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22860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86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3 – Meni Izvještaji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CE6F1"/>
          </w:tcPr>
          <w:p>
            <w:r>
              <w:t>Opcija</w:t>
            </w:r>
          </w:p>
        </w:tc>
        <w:tc>
          <w:tcPr>
            <w:tcW w:type="dxa" w:w="5184"/>
            <w:shd w:fill="DCE6F1"/>
          </w:tcPr>
          <w:p>
            <w:r>
              <w:t>Namjena</w:t>
            </w:r>
          </w:p>
        </w:tc>
      </w:tr>
      <w:tr>
        <w:tc>
          <w:tcPr>
            <w:tcW w:type="dxa" w:w="5184"/>
          </w:tcPr>
          <w:p>
            <w:r>
              <w:t>Knjižni nalozi</w:t>
            </w:r>
          </w:p>
        </w:tc>
        <w:tc>
          <w:tcPr>
            <w:tcW w:type="dxa" w:w="5184"/>
          </w:tcPr>
          <w:p>
            <w:r>
              <w:t>Pregled i rad sa finansijskim nalozima.</w:t>
            </w:r>
          </w:p>
        </w:tc>
      </w:tr>
      <w:tr>
        <w:tc>
          <w:tcPr>
            <w:tcW w:type="dxa" w:w="5184"/>
          </w:tcPr>
          <w:p>
            <w:r>
              <w:t>Novi knjižni nalog (GRID)</w:t>
            </w:r>
          </w:p>
        </w:tc>
        <w:tc>
          <w:tcPr>
            <w:tcW w:type="dxa" w:w="5184"/>
          </w:tcPr>
          <w:p>
            <w:r>
              <w:t>Brzi tabelarni unos novog naloga.</w:t>
            </w:r>
          </w:p>
        </w:tc>
      </w:tr>
      <w:tr>
        <w:tc>
          <w:tcPr>
            <w:tcW w:type="dxa" w:w="5184"/>
          </w:tcPr>
          <w:p>
            <w:r>
              <w:t>Šifarnik komitenata</w:t>
            </w:r>
          </w:p>
        </w:tc>
        <w:tc>
          <w:tcPr>
            <w:tcW w:type="dxa" w:w="5184"/>
          </w:tcPr>
          <w:p>
            <w:r>
              <w:t>Otvaranje šifarnika komitenata.</w:t>
            </w:r>
          </w:p>
        </w:tc>
      </w:tr>
      <w:tr>
        <w:tc>
          <w:tcPr>
            <w:tcW w:type="dxa" w:w="5184"/>
          </w:tcPr>
          <w:p>
            <w:r>
              <w:t>Kontni plan</w:t>
            </w:r>
          </w:p>
        </w:tc>
        <w:tc>
          <w:tcPr>
            <w:tcW w:type="dxa" w:w="5184"/>
          </w:tcPr>
          <w:p>
            <w:r>
              <w:t>Pregled i održavanje kontnog plana.</w:t>
            </w:r>
          </w:p>
        </w:tc>
      </w:tr>
      <w:tr>
        <w:tc>
          <w:tcPr>
            <w:tcW w:type="dxa" w:w="5184"/>
          </w:tcPr>
          <w:p>
            <w:r>
              <w:t>Tipovi analitike</w:t>
            </w:r>
          </w:p>
        </w:tc>
        <w:tc>
          <w:tcPr>
            <w:tcW w:type="dxa" w:w="5184"/>
          </w:tcPr>
          <w:p>
            <w:r>
              <w:t>Pregled tipova finansijske analitike.</w:t>
            </w:r>
          </w:p>
        </w:tc>
      </w:tr>
      <w:tr>
        <w:tc>
          <w:tcPr>
            <w:tcW w:type="dxa" w:w="5184"/>
          </w:tcPr>
          <w:p>
            <w:r>
              <w:t>Dashboard</w:t>
            </w:r>
          </w:p>
        </w:tc>
        <w:tc>
          <w:tcPr>
            <w:tcW w:type="dxa" w:w="5184"/>
          </w:tcPr>
          <w:p>
            <w:r>
              <w:t>Brzi pregled pokazatelja.</w:t>
            </w:r>
          </w:p>
        </w:tc>
      </w:tr>
      <w:tr>
        <w:tc>
          <w:tcPr>
            <w:tcW w:type="dxa" w:w="5184"/>
          </w:tcPr>
          <w:p>
            <w:r>
              <w:t>Bruto bilans / Zaključni list</w:t>
            </w:r>
          </w:p>
        </w:tc>
        <w:tc>
          <w:tcPr>
            <w:tcW w:type="dxa" w:w="5184"/>
          </w:tcPr>
          <w:p>
            <w:r>
              <w:t>Promet i saldo po kontima.</w:t>
            </w:r>
          </w:p>
        </w:tc>
      </w:tr>
      <w:tr>
        <w:tc>
          <w:tcPr>
            <w:tcW w:type="dxa" w:w="5184"/>
          </w:tcPr>
          <w:p>
            <w:r>
              <w:t>Kartica analitike</w:t>
            </w:r>
          </w:p>
        </w:tc>
        <w:tc>
          <w:tcPr>
            <w:tcW w:type="dxa" w:w="5184"/>
          </w:tcPr>
          <w:p>
            <w:r>
              <w:t>Promet odabrane analitike.</w:t>
            </w:r>
          </w:p>
        </w:tc>
      </w:tr>
      <w:tr>
        <w:tc>
          <w:tcPr>
            <w:tcW w:type="dxa" w:w="5184"/>
          </w:tcPr>
          <w:p>
            <w:r>
              <w:t>Dnevnik knjiženja</w:t>
            </w:r>
          </w:p>
        </w:tc>
        <w:tc>
          <w:tcPr>
            <w:tcW w:type="dxa" w:w="5184"/>
          </w:tcPr>
          <w:p>
            <w:r>
              <w:t>Detaljan pregled knjiženja po periodu.</w:t>
            </w:r>
          </w:p>
        </w:tc>
      </w:tr>
      <w:tr>
        <w:tc>
          <w:tcPr>
            <w:tcW w:type="dxa" w:w="5184"/>
          </w:tcPr>
          <w:p>
            <w:r>
              <w:t>Otvorene stavke</w:t>
            </w:r>
          </w:p>
        </w:tc>
        <w:tc>
          <w:tcPr>
            <w:tcW w:type="dxa" w:w="5184"/>
          </w:tcPr>
          <w:p>
            <w:r>
              <w:t>Pregled neusaglašenih/otvorenih stavki.</w:t>
            </w:r>
          </w:p>
        </w:tc>
      </w:tr>
      <w:tr>
        <w:tc>
          <w:tcPr>
            <w:tcW w:type="dxa" w:w="5184"/>
          </w:tcPr>
          <w:p>
            <w:r>
              <w:t>Dospijeća</w:t>
            </w:r>
          </w:p>
        </w:tc>
        <w:tc>
          <w:tcPr>
            <w:tcW w:type="dxa" w:w="5184"/>
          </w:tcPr>
          <w:p>
            <w:r>
              <w:t>Pregled obaveza/potraživanja po dospijeću.</w:t>
            </w:r>
          </w:p>
        </w:tc>
      </w:tr>
      <w:tr>
        <w:tc>
          <w:tcPr>
            <w:tcW w:type="dxa" w:w="5184"/>
          </w:tcPr>
          <w:p>
            <w:r>
              <w:t>IOS 31.12.</w:t>
            </w:r>
          </w:p>
        </w:tc>
        <w:tc>
          <w:tcPr>
            <w:tcW w:type="dxa" w:w="5184"/>
          </w:tcPr>
          <w:p>
            <w:r>
              <w:t>Pregled za usaglašavanje salda.</w:t>
            </w:r>
          </w:p>
        </w:tc>
      </w:tr>
      <w:tr>
        <w:tc>
          <w:tcPr>
            <w:tcW w:type="dxa" w:w="5184"/>
          </w:tcPr>
          <w:p>
            <w:r>
              <w:t>Bilans stanja/uspjeha</w:t>
            </w:r>
          </w:p>
        </w:tc>
        <w:tc>
          <w:tcPr>
            <w:tcW w:type="dxa" w:w="5184"/>
          </w:tcPr>
          <w:p>
            <w:r>
              <w:t>Finansijski izvještaji.</w:t>
            </w:r>
          </w:p>
        </w:tc>
      </w:tr>
      <w:tr>
        <w:tc>
          <w:tcPr>
            <w:tcW w:type="dxa" w:w="5184"/>
          </w:tcPr>
          <w:p>
            <w:r>
              <w:t>Analiza poslovanja</w:t>
            </w:r>
          </w:p>
        </w:tc>
        <w:tc>
          <w:tcPr>
            <w:tcW w:type="dxa" w:w="5184"/>
          </w:tcPr>
          <w:p>
            <w:r>
              <w:t>Grafički i tabelarni pregled pokazatelja.</w:t>
            </w:r>
          </w:p>
        </w:tc>
      </w:tr>
    </w:tbl>
    <w:p>
      <w:pPr>
        <w:pStyle w:val="Heading1"/>
      </w:pPr>
      <w:r>
        <w:t>3. Knjižni nalozi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6117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61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4 – Pregled knjižnih naloga</w:t>
      </w:r>
    </w:p>
    <w:p>
      <w:r>
        <w:t>Ekran prikazuje postojeće naloge u tabeli, sa filterima i komandama za pregled i rad sa odabranim nalogom.</w:t>
      </w:r>
    </w:p>
    <w:p>
      <w:pPr>
        <w:pStyle w:val="ListBullet"/>
      </w:pPr>
      <w:r>
        <w:t>Koristi filtere iznad tabele za sužavanje prikaza.</w:t>
      </w:r>
    </w:p>
    <w:p>
      <w:pPr>
        <w:pStyle w:val="ListBullet"/>
      </w:pPr>
      <w:r>
        <w:t>Označi nalog prije otvaranja ili izmjene.</w:t>
      </w:r>
    </w:p>
    <w:p>
      <w:pPr>
        <w:pStyle w:val="ListBullet"/>
      </w:pPr>
      <w:r>
        <w:t>Provjeri broj naloga, datum, opis i zbir Duguje/Potražuje.</w:t>
      </w:r>
    </w:p>
    <w:p>
      <w:pPr>
        <w:pStyle w:val="Heading1"/>
      </w:pPr>
      <w:r>
        <w:t>4. Finansijski nalog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3471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4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5 – Unos i pregled finansijskog naloga</w:t>
      </w:r>
    </w:p>
    <w:p>
      <w:pPr>
        <w:pStyle w:val="ListNumber"/>
      </w:pPr>
      <w:r>
        <w:t>Provjeri datum i osnovne podatke naloga.</w:t>
      </w:r>
    </w:p>
    <w:p>
      <w:pPr>
        <w:pStyle w:val="ListNumber"/>
      </w:pPr>
      <w:r>
        <w:t>Dodaj stavku i izaberi konto.</w:t>
      </w:r>
    </w:p>
    <w:p>
      <w:pPr>
        <w:pStyle w:val="ListNumber"/>
      </w:pPr>
      <w:r>
        <w:t>Ako je potrebno, izaberi tip i šifru analitike.</w:t>
      </w:r>
    </w:p>
    <w:p>
      <w:pPr>
        <w:pStyle w:val="ListNumber"/>
      </w:pPr>
      <w:r>
        <w:t>Unesi opis i iznos na stranu Duguje ili Potražuje.</w:t>
      </w:r>
    </w:p>
    <w:p>
      <w:pPr>
        <w:pStyle w:val="ListNumber"/>
      </w:pPr>
      <w:r>
        <w:t>Prije konačnog knjiženja provjeri da je nalog u ravnoteži.</w:t>
      </w:r>
    </w:p>
    <w:p>
      <w:pPr>
        <w:pStyle w:val="Heading1"/>
      </w:pPr>
      <w:r>
        <w:t>5. Pregled poslovanja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295630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56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6 – Dashboard / pregled poslovanja</w:t>
      </w:r>
    </w:p>
    <w:p>
      <w:r>
        <w:t>Kartice, grafikon i tabele daju brzi pregled finansijskih pokazatelja za izabrani period.</w:t>
      </w:r>
    </w:p>
    <w:p>
      <w:pPr>
        <w:pStyle w:val="Heading1"/>
      </w:pPr>
      <w:r>
        <w:t>6. Kartica konta / analitike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502377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0237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7 – Kartica konta / analitike</w:t>
      </w:r>
    </w:p>
    <w:p>
      <w:r>
        <w:t>Postavi period i kriterije, zatim pregledaj početno stanje, promet Duguje/Potražuje i saldo.</w:t>
      </w:r>
    </w:p>
    <w:p>
      <w:pPr>
        <w:pStyle w:val="Heading1"/>
      </w:pPr>
      <w:r>
        <w:t>7. Dnevnik knjiženja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2971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7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8 – Dnevnik knjiženja</w:t>
      </w:r>
    </w:p>
    <w:p>
      <w:r>
        <w:t>Dnevnik prikazuje pojedinačne stavke knjiženja po zadatom periodu i raspoloživim filterima.</w:t>
      </w:r>
    </w:p>
    <w:p>
      <w:pPr>
        <w:pStyle w:val="Heading1"/>
      </w:pPr>
      <w:r>
        <w:t>8. Bruto bilans / Zaključni list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72417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241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9 – Bruto bilans / Zaključni list</w:t>
      </w:r>
    </w:p>
    <w:p>
      <w:r>
        <w:t>Izvještaj prikazuje promet i saldo po kontima za izabrani period.</w:t>
      </w:r>
    </w:p>
    <w:p>
      <w:pPr>
        <w:pStyle w:val="Heading1"/>
      </w:pPr>
      <w:r>
        <w:t>9. Otvorene stavke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27136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71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10 – Otvorene stavke</w:t>
      </w:r>
    </w:p>
    <w:p>
      <w:r>
        <w:t>Koristi se za pregled stavki koje još nisu zatvorene ili usaglašene.</w:t>
      </w:r>
    </w:p>
    <w:p>
      <w:pPr>
        <w:pStyle w:val="Heading1"/>
      </w:pPr>
      <w:r>
        <w:t>10. Dospijeća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50456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045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11 – Pregled dospijeća</w:t>
      </w:r>
    </w:p>
    <w:p>
      <w:r>
        <w:t>Prikazuje obaveze ili potraživanja prema rokovima dospijeća i izabranom periodu.</w:t>
      </w:r>
    </w:p>
    <w:p>
      <w:pPr>
        <w:pStyle w:val="Heading1"/>
      </w:pPr>
      <w:r>
        <w:t>11. Analiza poslovanja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2801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80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12 – Analiza poslovanja</w:t>
      </w:r>
    </w:p>
    <w:p>
      <w:r>
        <w:t>Tabelarni i grafički pregled izabranih finansijskih kategorija.</w:t>
      </w:r>
    </w:p>
    <w:p>
      <w:pPr>
        <w:pStyle w:val="Heading1"/>
      </w:pPr>
      <w:r>
        <w:t>12. FINA / Godina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217647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176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13 – FINA / Godina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10677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06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F6978"/>
          <w:sz w:val="16"/>
        </w:rPr>
        <w:t>Slika 14 – Poslovna godina i informacije o programu</w:t>
      </w:r>
    </w:p>
    <w:p>
      <w:r>
        <w:t>Ovaj dio služi za operacije i preglede vezane za poslovnu godinu.</w:t>
      </w:r>
    </w:p>
    <w:p>
      <w:pPr>
        <w:pStyle w:val="Heading1"/>
      </w:pPr>
      <w:r>
        <w:t>13. Preporučeni redoslijed rada</w:t>
      </w:r>
    </w:p>
    <w:p>
      <w:pPr>
        <w:pStyle w:val="ListNumber"/>
      </w:pPr>
      <w:r>
        <w:t>Provjeri aktivnu firmu i poslovnu godinu.</w:t>
      </w:r>
    </w:p>
    <w:p>
      <w:pPr>
        <w:pStyle w:val="ListNumber"/>
      </w:pPr>
      <w:r>
        <w:t>Unesi ili otvori knjižni nalog.</w:t>
      </w:r>
    </w:p>
    <w:p>
      <w:pPr>
        <w:pStyle w:val="ListNumber"/>
      </w:pPr>
      <w:r>
        <w:t>Unesi i provjeri stavke.</w:t>
      </w:r>
    </w:p>
    <w:p>
      <w:pPr>
        <w:pStyle w:val="ListNumber"/>
      </w:pPr>
      <w:r>
        <w:t>Provjeri ravnotežu Duguje/Potražuje.</w:t>
      </w:r>
    </w:p>
    <w:p>
      <w:pPr>
        <w:pStyle w:val="ListNumber"/>
      </w:pPr>
      <w:r>
        <w:t>Kontroliši knjiženja kroz Karticu, Dnevnik i Bruto bilans.</w:t>
      </w:r>
    </w:p>
    <w:p>
      <w:pPr>
        <w:pStyle w:val="ListNumber"/>
      </w:pPr>
      <w:r>
        <w:t>Za partnere koristi Otvorene stavke, Dospijeća i IOS.</w:t>
      </w:r>
    </w:p>
    <w:p>
      <w:pPr>
        <w:pStyle w:val="ListNumber"/>
      </w:pPr>
      <w:r>
        <w:t>Za završne preglede koristi Bilans stanja/uspjeha i Analizu poslovanja.</w:t>
      </w:r>
    </w:p>
    <w:p>
      <w:pPr>
        <w:pStyle w:val="Heading1"/>
      </w:pPr>
      <w:r>
        <w:t>14. Važne napomene</w:t>
      </w:r>
    </w:p>
    <w:p>
      <w:pPr>
        <w:pStyle w:val="ListBullet"/>
      </w:pPr>
      <w:r>
        <w:t>Uvijek provjeri ispravnu firmu, bazu i poslovnu godinu.</w:t>
      </w:r>
    </w:p>
    <w:p>
      <w:pPr>
        <w:pStyle w:val="ListBullet"/>
      </w:pPr>
      <w:r>
        <w:t>Finansijski nalog treba biti izbalansiran: ukupno Duguje = ukupno Potražuje.</w:t>
      </w:r>
    </w:p>
    <w:p>
      <w:pPr>
        <w:pStyle w:val="ListBullet"/>
      </w:pPr>
      <w:r>
        <w:t>Kod analitičkih konta odaberi odgovarajuću analitiku.</w:t>
      </w:r>
    </w:p>
    <w:p>
      <w:pPr>
        <w:pStyle w:val="ListBullet"/>
      </w:pPr>
      <w:r>
        <w:t>Izvještaje prvo ograniči periodom radi bržeg i preciznijeg pregleda.</w:t>
      </w:r>
    </w:p>
    <w:sectPr w:rsidR="00FC693F" w:rsidRPr="0006063C" w:rsidSect="00034616">
      <w:footerReference w:type="default" r:id="rId23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eSERP – Glavna knjiga • Korisnička pomoć • ELSOFT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