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400" w:after="200"/>
        <w:jc w:val="center"/>
      </w:pPr>
      <w:r>
        <w:rPr>
          <w:rFonts w:ascii="Arial" w:cs="Arial" w:eastAsia="Arial" w:hAnsi="Arial"/>
          <w:b/>
          <w:bCs/>
          <w:color w:val="1E4073"/>
          <w:sz w:val="56"/>
          <w:szCs w:val="56"/>
        </w:rPr>
        <w:t xml:space="preserve">EVIDENCIJA OSNOVNIH SREDSTAVA</w:t>
      </w:r>
    </w:p>
    <w:p>
      <w:pPr>
        <w:spacing w:after="120"/>
        <w:jc w:val="center"/>
      </w:pPr>
      <w:r>
        <w:rPr>
          <w:rFonts w:ascii="Arial" w:cs="Arial" w:eastAsia="Arial" w:hAnsi="Arial"/>
          <w:color w:val="555555"/>
          <w:sz w:val="36"/>
          <w:szCs w:val="36"/>
        </w:rPr>
        <w:t xml:space="preserve">Korisnički priručnik</w:t>
      </w:r>
    </w:p>
    <w:p>
      <w:pPr>
        <w:spacing w:after="80"/>
        <w:jc w:val="center"/>
      </w:pPr>
      <w:r>
        <w:rPr>
          <w:rFonts w:ascii="Arial" w:cs="Arial" w:eastAsia="Arial" w:hAnsi="Arial"/>
          <w:i/>
          <w:iCs/>
          <w:color w:val="777777"/>
          <w:sz w:val="22"/>
          <w:szCs w:val="22"/>
        </w:rPr>
        <w:t xml:space="preserve">Integracija s Elsoftdoo Finans · Glavna Knjiga · SQL Server</w:t>
      </w:r>
    </w:p>
    <w:p>
      <w:pPr>
        <w:pBdr>
          <w:bottom w:val="single" w:color="1E4073" w:sz="6" w:space="1"/>
        </w:pBdr>
        <w:spacing w:before="300" w:after="900"/>
      </w:pPr>
      <w:r>
        <w:t xml:space="preserve"/>
      </w:r>
    </w:p>
    <w:p>
      <w:pPr>
        <w:spacing w:after="8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Verzija 15.0   ·   27. 03. 2026.</w:t>
      </w:r>
    </w:p>
    <w:p>
      <w:r>
        <w:br w:type="page"/>
      </w:r>
    </w:p>
    <w:p>
      <w:pPr>
        <w:pStyle w:val="Heading1"/>
        <w:spacing w:before="0" w:after="200"/>
      </w:pPr>
      <w:r>
        <w:rPr>
          <w:rFonts w:ascii="Arial" w:cs="Arial" w:eastAsia="Arial" w:hAnsi="Arial"/>
          <w:b/>
          <w:bCs/>
          <w:color w:val="1E4073"/>
          <w:sz w:val="30"/>
          <w:szCs w:val="30"/>
        </w:rPr>
        <w:t xml:space="preserve">SADRŽAJ</w:t>
      </w:r>
    </w:p>
    <w:sdt>
      <w:sdtPr>
        <w:alias w:val="Sadržaj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pBdr>
          <w:bottom w:val="single" w:color="D0DCF0" w:sz="6" w:space="4"/>
        </w:pBdr>
        <w:spacing w:before="360" w:after="140"/>
      </w:pPr>
      <w:r>
        <w:rPr>
          <w:rFonts w:ascii="Arial" w:cs="Arial" w:eastAsia="Arial" w:hAnsi="Arial"/>
          <w:b/>
          <w:bCs/>
          <w:color w:val="1E4073"/>
          <w:sz w:val="30"/>
          <w:szCs w:val="30"/>
        </w:rPr>
        <w:t xml:space="preserve">1.  Uvod i opis sistema</w:t>
      </w:r>
    </w:p>
    <w:p>
      <w:pPr>
        <w:spacing w:after="10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Program Evidencija Osnovnih Sredstava (EOS) je Windows desktop aplikacija za kompletno upravljanje dugotrajnom imovinom preduzeća. Direktno se integrira s Elsoftdoo Finans računovodstvenim softverom, čitajući podatke o kompaniji iz tabele Podesenja i automatski kreirajući naloge u Glavnoj Knjizi.</w:t>
      </w:r>
    </w:p>
    <w:p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E4073"/>
          <w:sz w:val="24"/>
          <w:szCs w:val="24"/>
        </w:rPr>
        <w:t xml:space="preserve">1.1  Ključne funkcije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Evidencija svih osnovnih sredstava s punim podacima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Automatski obračun amortizacije — proporcionalna i degresivna metoda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Knjiženje revalorizacije prema MRS 16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Rashod i prodaja sredstava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Automatski prenos u OpisNaloga + GlavnaKnjiga (Elsoftdoo Finans)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Izvještaji: popis po grupama, godišnji obračun, sumarni bilans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Šifarnici: grupe OS s kontnim planom, lokacije, odgovorna lica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Čitanje podataka firme iz Elsoftdoo tabele Podesenja</w:t>
      </w:r>
    </w:p>
    <w:p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E4073"/>
          <w:sz w:val="24"/>
          <w:szCs w:val="24"/>
        </w:rPr>
        <w:t xml:space="preserve">1.2  Tehnički zahtjevi</w:t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rPr>
          <w:tblHeader/>
        </w:trPr>
        <w:tc>
          <w:tcPr>
            <w:tcW w:type="dxa" w:w="3200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Komponenta</w:t>
            </w:r>
          </w:p>
        </w:tc>
        <w:tc>
          <w:tcPr>
            <w:tcW w:type="dxa" w:w="5826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Zahtjev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Operativni sistem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Windows 10 / 11 (64-bit)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SQL Server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Elsoftdoo Finans — ista baza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.NET verzija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.NET 8.0 (Windows)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RAM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Minimum 4 GB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Disk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50 MB za aplikaciju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D0DCF0" w:sz="6" w:space="4"/>
        </w:pBdr>
        <w:spacing w:before="360" w:after="140"/>
      </w:pPr>
      <w:r>
        <w:rPr>
          <w:rFonts w:ascii="Arial" w:cs="Arial" w:eastAsia="Arial" w:hAnsi="Arial"/>
          <w:b/>
          <w:bCs/>
          <w:color w:val="1E4073"/>
          <w:sz w:val="30"/>
          <w:szCs w:val="30"/>
        </w:rPr>
        <w:t xml:space="preserve">2.  Pokretanje i konekcija na bazu</w:t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E4073"/>
          <w:sz w:val="24"/>
          <w:szCs w:val="24"/>
        </w:rPr>
        <w:t xml:space="preserve">2.1  Automatska konekcija iz Registry</w:t>
      </w:r>
    </w:p>
    <w:p>
      <w:pPr>
        <w:spacing w:after="10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Program AUTOMATSKI čita sve podatke za spajanje na SQL Server iz Windows Registry. Nema potrebe za ručnim podešavanjem connection stringa.</w:t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526"/>
      </w:tblGrid>
      <w:tr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REGISTRY PUTANJA</w:t>
            </w:r>
          </w:p>
        </w:tc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F5F7FA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HKEY_CURRENT_USER\Software\Elsoftdoo\Finans\Server</w:t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800"/>
        <w:gridCol w:w="3026"/>
      </w:tblGrid>
      <w:tr>
        <w:trPr>
          <w:tblHeader/>
        </w:trPr>
        <w:tc>
          <w:tcPr>
            <w:tcW w:type="dxa" w:w="2200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Registry ključ</w:t>
            </w:r>
          </w:p>
        </w:tc>
        <w:tc>
          <w:tcPr>
            <w:tcW w:type="dxa" w:w="3800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Opis</w:t>
            </w:r>
          </w:p>
        </w:tc>
        <w:tc>
          <w:tcPr>
            <w:tcW w:type="dxa" w:w="3026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Primjer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Lokacija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Adresa SQL Servera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ELVIRPESTAWII\SQLE2017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Baza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Naziv baze podataka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EL2024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dba05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Lozinka (ime ključa = dba05)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Jabuka12</w:t>
            </w:r>
          </w:p>
        </w:tc>
      </w:tr>
    </w:tbl>
    <w:p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E4073"/>
          <w:sz w:val="24"/>
          <w:szCs w:val="24"/>
        </w:rPr>
        <w:t xml:space="preserve">2.2  Provjera konekcije</w:t>
      </w:r>
    </w:p>
    <w:p>
      <w:pPr>
        <w:spacing w:after="10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Ako se program ne spoji, pojavit će se poruka s greškom. Za dijagnostiku: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Otvorite meni: ⚙️ Podešavanja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Kliknite: 🔍 Registry / konekcija debug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Pogledajte pročitane vrijednosti i kliknite 'Testiraj konekciju'</w:t>
      </w:r>
    </w:p>
    <w:p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E4073"/>
          <w:sz w:val="24"/>
          <w:szCs w:val="24"/>
        </w:rPr>
        <w:t xml:space="preserve">2.3  Podaci kompanije iz Podesenja</w:t>
      </w:r>
    </w:p>
    <w:p>
      <w:pPr>
        <w:spacing w:after="10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Naziv firme, adresa, PDV broj, ID broj, kontoi i poslovna godina automatski se učitavaju iz Elsoftdoo tabele Podesenja pri svakom pokretanju programa. Ovi podaci se prikazuju u status baru i naslovu forme.</w:t>
      </w:r>
    </w:p>
    <w:p>
      <w:r>
        <w:br w:type="page"/>
      </w:r>
    </w:p>
    <w:p>
      <w:pPr>
        <w:pStyle w:val="Heading1"/>
        <w:pBdr>
          <w:bottom w:val="single" w:color="D0DCF0" w:sz="6" w:space="4"/>
        </w:pBdr>
        <w:spacing w:before="360" w:after="140"/>
      </w:pPr>
      <w:r>
        <w:rPr>
          <w:rFonts w:ascii="Arial" w:cs="Arial" w:eastAsia="Arial" w:hAnsi="Arial"/>
          <w:b/>
          <w:bCs/>
          <w:color w:val="1E4073"/>
          <w:sz w:val="30"/>
          <w:szCs w:val="30"/>
        </w:rPr>
        <w:t xml:space="preserve">3.  Početni ekran — Dashboard</w:t>
      </w:r>
    </w:p>
    <w:p>
      <w:pPr>
        <w:spacing w:after="10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Pri pokretanju programa prikazuje se dashboard s pregledom ukupnog stanja imovine i brzim akcijama.</w:t>
      </w:r>
    </w:p>
    <w:p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E4073"/>
          <w:sz w:val="24"/>
          <w:szCs w:val="24"/>
        </w:rPr>
        <w:t xml:space="preserve">3.1  Sumarni kartice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rPr>
          <w:tblHeader/>
        </w:trPr>
        <w:tc>
          <w:tcPr>
            <w:tcW w:type="dxa" w:w="3200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Kartica</w:t>
            </w:r>
          </w:p>
        </w:tc>
        <w:tc>
          <w:tcPr>
            <w:tcW w:type="dxa" w:w="5826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Opis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Aktivna sredstva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Ukupan broj aktivnih OS u evidenciji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Nabavna vrijednost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Ukupna nabavna vrijednost svih aktivnih OS (KM)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Ispravka vrijednosti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Ukupno akumulirana amortizacija (KM)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Sadašnja vrijednost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Trenutna knjižna vrijednost = Nabavna − Ispravka (KM)</w:t>
            </w:r>
          </w:p>
        </w:tc>
      </w:tr>
    </w:tbl>
    <w:p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E4073"/>
          <w:sz w:val="24"/>
          <w:szCs w:val="24"/>
        </w:rPr>
        <w:t xml:space="preserve">3.2  Brze akcije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7826"/>
      </w:tblGrid>
      <w:tr>
        <w:trPr>
          <w:tblHeader/>
        </w:trPr>
        <w:tc>
          <w:tcPr>
            <w:tcW w:type="dxa" w:w="1200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Ikona</w:t>
            </w:r>
          </w:p>
        </w:tc>
        <w:tc>
          <w:tcPr>
            <w:tcW w:type="dxa" w:w="7826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Akcija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📋</w:t>
            </w:r>
          </w:p>
        </w:tc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Pregled svih OS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➕</w:t>
            </w:r>
          </w:p>
        </w:tc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Novo osnovno sredstvo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📊</w:t>
            </w:r>
          </w:p>
        </w:tc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Obračun amortizacije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🔄</w:t>
            </w:r>
          </w:p>
        </w:tc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Knjiženje revalorizacije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📒</w:t>
            </w:r>
          </w:p>
        </w:tc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Knjiženje u GK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📄</w:t>
            </w:r>
          </w:p>
        </w:tc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Izvještaji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D0DCF0" w:sz="6" w:space="4"/>
        </w:pBdr>
        <w:spacing w:before="360" w:after="140"/>
      </w:pPr>
      <w:r>
        <w:rPr>
          <w:rFonts w:ascii="Arial" w:cs="Arial" w:eastAsia="Arial" w:hAnsi="Arial"/>
          <w:b/>
          <w:bCs/>
          <w:color w:val="1E4073"/>
          <w:sz w:val="30"/>
          <w:szCs w:val="30"/>
        </w:rPr>
        <w:t xml:space="preserve">4.  Upravljanje osnovnim sredstvima</w:t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E4073"/>
          <w:sz w:val="24"/>
          <w:szCs w:val="24"/>
        </w:rPr>
        <w:t xml:space="preserve">4.1  Pregled svih sredstava</w:t>
      </w:r>
    </w:p>
    <w:p>
      <w:pPr>
        <w:spacing w:after="10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Meni: 🏢 Osnovna Sredstva → Pregled svih sredstava</w:t>
      </w:r>
    </w:p>
    <w:p>
      <w:r>
        <w:t xml:space="preserve"/>
      </w:r>
    </w:p>
    <w:p>
      <w:pPr>
        <w:spacing w:after="10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Prikazuje tabelu svih sredstava. Kliknite dvaput na red za uređivanje.</w:t>
      </w:r>
    </w:p>
    <w:p>
      <w:r>
        <w:t xml:space="preserve"/>
      </w:r>
    </w:p>
    <w:p>
      <w:pPr>
        <w:pStyle w:val="Heading3"/>
        <w:spacing w:before="180" w:after="80"/>
      </w:pPr>
      <w:r>
        <w:rPr>
          <w:rFonts w:ascii="Arial" w:cs="Arial" w:eastAsia="Arial" w:hAnsi="Arial"/>
          <w:b/>
          <w:bCs/>
          <w:color w:val="444444"/>
          <w:sz w:val="22"/>
          <w:szCs w:val="22"/>
        </w:rPr>
        <w:t xml:space="preserve">Boje u koloni Sadašnja vrijednost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Zelena  —  više od 30% vrijednosti preostalo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Narandžasta  —  10% do 30% preostalo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Crvena  —  manje od 10% (skoro potpuno amortizirano)</w:t>
      </w:r>
    </w:p>
    <w:p>
      <w:r>
        <w:t xml:space="preserve"/>
      </w:r>
    </w:p>
    <w:p>
      <w:pPr>
        <w:pStyle w:val="Heading3"/>
        <w:spacing w:before="180" w:after="80"/>
      </w:pPr>
      <w:r>
        <w:rPr>
          <w:rFonts w:ascii="Arial" w:cs="Arial" w:eastAsia="Arial" w:hAnsi="Arial"/>
          <w:b/>
          <w:bCs/>
          <w:color w:val="444444"/>
          <w:sz w:val="22"/>
          <w:szCs w:val="22"/>
        </w:rPr>
        <w:t xml:space="preserve">Dugmad u toolbaru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rPr>
          <w:tblHeader/>
        </w:trPr>
        <w:tc>
          <w:tcPr>
            <w:tcW w:type="dxa" w:w="2200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Dugme</w:t>
            </w:r>
          </w:p>
        </w:tc>
        <w:tc>
          <w:tcPr>
            <w:tcW w:type="dxa" w:w="6826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Funkcija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➕ Novo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Dodaj novo osnovno sredstvo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✏️ Uredi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Uredi odabrano sredstvo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🗑️ Obriši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Obriši (samo ako nema knjiženja)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🃏 Kartica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Analitička kartica — historija amortizacije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💾 Excel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Izvoz u CSV (otvori u Excelu)</w:t>
            </w:r>
          </w:p>
        </w:tc>
      </w:tr>
    </w:tbl>
    <w:p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E4073"/>
          <w:sz w:val="24"/>
          <w:szCs w:val="24"/>
        </w:rPr>
        <w:t xml:space="preserve">4.2  Unos novog sredstva</w:t>
      </w:r>
    </w:p>
    <w:p>
      <w:pPr>
        <w:spacing w:after="10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Forma ima 4 taba:</w:t>
      </w:r>
    </w:p>
    <w:p>
      <w:r>
        <w:t xml:space="preserve"/>
      </w:r>
    </w:p>
    <w:p>
      <w:pPr>
        <w:pStyle w:val="Heading3"/>
        <w:spacing w:before="180" w:after="80"/>
      </w:pPr>
      <w:r>
        <w:rPr>
          <w:rFonts w:ascii="Arial" w:cs="Arial" w:eastAsia="Arial" w:hAnsi="Arial"/>
          <w:b/>
          <w:bCs/>
          <w:color w:val="444444"/>
          <w:sz w:val="22"/>
          <w:szCs w:val="22"/>
        </w:rPr>
        <w:t xml:space="preserve">Tab 1 — Osnovni podaci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400"/>
        <w:gridCol w:w="4826"/>
      </w:tblGrid>
      <w:tr>
        <w:trPr>
          <w:tblHeader/>
        </w:trPr>
        <w:tc>
          <w:tcPr>
            <w:tcW w:type="dxa" w:w="2800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Polje</w:t>
            </w:r>
          </w:p>
        </w:tc>
        <w:tc>
          <w:tcPr>
            <w:tcW w:type="dxa" w:w="1400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Obavezno</w:t>
            </w:r>
          </w:p>
        </w:tc>
        <w:tc>
          <w:tcPr>
            <w:tcW w:type="dxa" w:w="4826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Opis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Inventarni broj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✅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Automatski generisan prefix+broj (dugme Auto)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Naziv sredstva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✅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Puni naziv OS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Grupa OS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✅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Odaberite grupu — automatski popunjava konta i stopu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Datum nabavke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✅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Datum kupovine/nabavke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Datum aktivacije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✅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Datum stavljanja u upotrebu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Dobavljač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—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Odabir iz Komitenti (dugme ...)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Lokacija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—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Odabir iz šifarnika lokacija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Odgovorno lice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—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Odabir iz šifarnika odgovornih lica</w:t>
            </w:r>
          </w:p>
        </w:tc>
      </w:tr>
    </w:tbl>
    <w:p>
      <w:r>
        <w:t xml:space="preserve"/>
      </w:r>
    </w:p>
    <w:p>
      <w:pPr>
        <w:pStyle w:val="Heading3"/>
        <w:spacing w:before="180" w:after="80"/>
      </w:pPr>
      <w:r>
        <w:rPr>
          <w:rFonts w:ascii="Arial" w:cs="Arial" w:eastAsia="Arial" w:hAnsi="Arial"/>
          <w:b/>
          <w:bCs/>
          <w:color w:val="444444"/>
          <w:sz w:val="22"/>
          <w:szCs w:val="22"/>
        </w:rPr>
        <w:t xml:space="preserve">Tab 2 — Financijski podaci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rPr>
          <w:tblHeader/>
        </w:trPr>
        <w:tc>
          <w:tcPr>
            <w:tcW w:type="dxa" w:w="3000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Polje</w:t>
            </w:r>
          </w:p>
        </w:tc>
        <w:tc>
          <w:tcPr>
            <w:tcW w:type="dxa" w:w="6026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Opis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Nabavna vrijednost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Iznos po fakturi (obavezno, &gt; 0)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Ispravka vrijednosti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Za stara sredstva — unesi već amortizovani iznos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GODIŠNJA stopa amo. %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Unosi se GODIŠNJA stopa — program dijeli s 12 za mj.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Vijek trajanja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Automatski izračun iz stope (i obrnuto)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Metoda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Proporcionalna (ravnomjerna) ili Degresivna (opadajuća)</w:t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526"/>
      </w:tblGrid>
      <w:tr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VAŽNO</w:t>
            </w:r>
          </w:p>
        </w:tc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EEF3FB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Stopa amortizacije je uvijek GODIŠNJA. Program automatski dijeli s 12 za mjesečno knjiženje. Live preview pokazuje godišnji i mjesečni iznos čim unesete vrijednosti.</w:t>
            </w:r>
          </w:p>
        </w:tc>
      </w:tr>
    </w:tbl>
    <w:p>
      <w:r>
        <w:t xml:space="preserve"/>
      </w:r>
    </w:p>
    <w:p>
      <w:pPr>
        <w:pStyle w:val="Heading3"/>
        <w:spacing w:before="180" w:after="80"/>
      </w:pPr>
      <w:r>
        <w:rPr>
          <w:rFonts w:ascii="Arial" w:cs="Arial" w:eastAsia="Arial" w:hAnsi="Arial"/>
          <w:b/>
          <w:bCs/>
          <w:color w:val="444444"/>
          <w:sz w:val="22"/>
          <w:szCs w:val="22"/>
        </w:rPr>
        <w:t xml:space="preserve">Tab 3 — Kontni plan</w:t>
      </w:r>
    </w:p>
    <w:p>
      <w:pPr>
        <w:spacing w:after="10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Konta se automatski popunjavaju iz grupe OS. Možete ih promijeniti za svako sredstvo posebno.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800"/>
        <w:gridCol w:w="3426"/>
      </w:tblGrid>
      <w:tr>
        <w:trPr>
          <w:tblHeader/>
        </w:trPr>
        <w:tc>
          <w:tcPr>
            <w:tcW w:type="dxa" w:w="2800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Konto</w:t>
            </w:r>
          </w:p>
        </w:tc>
        <w:tc>
          <w:tcPr>
            <w:tcW w:type="dxa" w:w="2800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Opis</w:t>
            </w:r>
          </w:p>
        </w:tc>
        <w:tc>
          <w:tcPr>
            <w:tcW w:type="dxa" w:w="3426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Primjeri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Konto nabavke OS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Aktiva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021, 022, 023, 025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Konto troška amortizacije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Rashod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540, 541, 542, 543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Konto ispravke vrijednosti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Korektivni konto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0291, 0292, 0293, 0294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D0DCF0" w:sz="6" w:space="4"/>
        </w:pBdr>
        <w:spacing w:before="360" w:after="140"/>
      </w:pPr>
      <w:r>
        <w:rPr>
          <w:rFonts w:ascii="Arial" w:cs="Arial" w:eastAsia="Arial" w:hAnsi="Arial"/>
          <w:b/>
          <w:bCs/>
          <w:color w:val="1E4073"/>
          <w:sz w:val="30"/>
          <w:szCs w:val="30"/>
        </w:rPr>
        <w:t xml:space="preserve">5.  Obračun i knjiženje amortizacije</w:t>
      </w:r>
    </w:p>
    <w:p>
      <w:pPr>
        <w:spacing w:after="10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Meni: 📊 Amortizacija → Obračun amortizacije</w:t>
      </w:r>
    </w:p>
    <w:p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E4073"/>
          <w:sz w:val="24"/>
          <w:szCs w:val="24"/>
        </w:rPr>
        <w:t xml:space="preserve">5.1  Načini odabira perioda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Jedan mjesec  —  standardni obračun za jedan period (Godina + Mjesec)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Period (od — do)  —  polugodišnji, godišnji ili bilo koji raspon</w:t>
      </w:r>
    </w:p>
    <w:p>
      <w:r>
        <w:t xml:space="preserve"/>
      </w:r>
    </w:p>
    <w:p>
      <w:pPr>
        <w:pStyle w:val="Heading3"/>
        <w:spacing w:before="180" w:after="80"/>
      </w:pPr>
      <w:r>
        <w:rPr>
          <w:rFonts w:ascii="Arial" w:cs="Arial" w:eastAsia="Arial" w:hAnsi="Arial"/>
          <w:b/>
          <w:bCs/>
          <w:color w:val="444444"/>
          <w:sz w:val="22"/>
          <w:szCs w:val="22"/>
        </w:rPr>
        <w:t xml:space="preserve">Brzi odabir perioda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rPr>
          <w:tblHeader/>
        </w:trPr>
        <w:tc>
          <w:tcPr>
            <w:tcW w:type="dxa" w:w="3000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Opcija</w:t>
            </w:r>
          </w:p>
        </w:tc>
        <w:tc>
          <w:tcPr>
            <w:tcW w:type="dxa" w:w="6026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Period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Q1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Januar — Mart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Q2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April — Juni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Q3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Juli — Septembar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Q4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Oktobar — Decembar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 polugodište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Januar — Juni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II polugodište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Juli — Decembar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Cijela godina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Januar — Decembar tekuće poslovne godine</w:t>
            </w:r>
          </w:p>
        </w:tc>
      </w:tr>
    </w:tbl>
    <w:p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E4073"/>
          <w:sz w:val="24"/>
          <w:szCs w:val="24"/>
        </w:rPr>
        <w:t xml:space="preserve">5.2  Postupak obračuna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B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Odaberite period (jedan mjesec ili od-do)</w:t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B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Kliknite 🔢 Izračunaj — prikazuje se lista svih aktivnih sredstava s iznosom</w:t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B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Zeleni redovi = već proknjiženo. Bijeli = čeka knjiženje.</w:t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B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Označite stavke (checkbox) ili koristite 📚 Knjiži SVE</w:t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5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B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Nakon knjiženja — obavezno prenijeti u Glavnu Knjigu!</w:t>
            </w:r>
          </w:p>
        </w:tc>
      </w:tr>
    </w:tbl>
    <w:p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E4073"/>
          <w:sz w:val="24"/>
          <w:szCs w:val="24"/>
        </w:rPr>
        <w:t xml:space="preserve">5.3  Opcija temeljnice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Odznačeno  —  zasebna temeljnica po svakom periodu (npr. AMO-2026-01, AMO-2026-02)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Označeno  —  jedna zajednička temeljnica za cijeli period</w:t>
      </w:r>
    </w:p>
    <w:p>
      <w:r>
        <w:br w:type="page"/>
      </w:r>
    </w:p>
    <w:p>
      <w:pPr>
        <w:pStyle w:val="Heading1"/>
        <w:pBdr>
          <w:bottom w:val="single" w:color="D0DCF0" w:sz="6" w:space="4"/>
        </w:pBdr>
        <w:spacing w:before="360" w:after="140"/>
      </w:pPr>
      <w:r>
        <w:rPr>
          <w:rFonts w:ascii="Arial" w:cs="Arial" w:eastAsia="Arial" w:hAnsi="Arial"/>
          <w:b/>
          <w:bCs/>
          <w:color w:val="1E4073"/>
          <w:sz w:val="30"/>
          <w:szCs w:val="30"/>
        </w:rPr>
        <w:t xml:space="preserve">6.  Knjiženje u Glavnu Knjigu (Elsoftdoo Finans)</w:t>
      </w:r>
    </w:p>
    <w:p>
      <w:pPr>
        <w:spacing w:after="10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Meni: 📒 Glavna Knjiga → Knjiženje u GK</w:t>
      </w:r>
    </w:p>
    <w:p>
      <w:r>
        <w:t xml:space="preserve"/>
      </w:r>
    </w:p>
    <w:p>
      <w:pPr>
        <w:spacing w:after="10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Ovaj modul prenosi proknjiženu amortizaciju i revalorizaciju u Elsoftdoo Finans bazu — tabele OpisNaloga i GlavnaKnjiga.</w:t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rPr>
          <w:tblHeader/>
        </w:trPr>
        <w:tc>
          <w:tcPr>
            <w:tcW w:type="dxa" w:w="3000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Tabela u bazi</w:t>
            </w:r>
          </w:p>
        </w:tc>
        <w:tc>
          <w:tcPr>
            <w:tcW w:type="dxa" w:w="6026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Kreira se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OpisNaloga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1 nalog (BRNAL, DATUM, OPIS, TIPNAL='AMO')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GlavnaKnjiga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2 stavke po sredstvu (Duguje + Potražuje)</w:t>
            </w:r>
          </w:p>
        </w:tc>
      </w:tr>
    </w:tbl>
    <w:p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E4073"/>
          <w:sz w:val="24"/>
          <w:szCs w:val="24"/>
        </w:rPr>
        <w:t xml:space="preserve">6.1  Knjiženje amortizacije u GK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B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Tab 'Amortizacija → GK' — odaberite period</w:t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B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Kliknite 🔍 Učitaj — prikazuju se neprebačene stavke</w:t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B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Kliknite 📚 Knjiži SVE u GK</w:t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B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Program kreira BRNAL u OpisNaloga i stavke u GlavnaKnjiga</w:t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5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B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Automatski se provjerava bilans: Duguje = Potražuje ✅</w:t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526"/>
      </w:tblGrid>
      <w:tr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KNJIŽNI ZAPIS</w:t>
            </w:r>
          </w:p>
        </w:tc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EEF3FB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D: Konto troška amortizacije (540/541...)  ·  P: Konto ispravke vrijednosti (0291/0292...)</w:t>
            </w:r>
          </w:p>
        </w:tc>
      </w:tr>
    </w:tbl>
    <w:p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E4073"/>
          <w:sz w:val="24"/>
          <w:szCs w:val="24"/>
        </w:rPr>
        <w:t xml:space="preserve">6.2  Pregled i storno GK naloga</w:t>
      </w:r>
    </w:p>
    <w:p>
      <w:pPr>
        <w:spacing w:after="10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Tab 'Pregled GK naloga' — prikazuje sve OS naloge s filtriranjem po datumu i tipu. Dugme 🔁 Storno kreira novi nalog s obrnutim D/P koji poništava original.</w:t>
      </w:r>
    </w:p>
    <w:p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E4073"/>
          <w:sz w:val="24"/>
          <w:szCs w:val="24"/>
        </w:rPr>
        <w:t xml:space="preserve">6.3  Detalji naloga</w:t>
      </w:r>
    </w:p>
    <w:p>
      <w:pPr>
        <w:spacing w:after="10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Tab 'Detalji naloga' — unesite BRNAL i pogledajte sve stavke s kontrolom bilansa.</w:t>
      </w:r>
    </w:p>
    <w:p>
      <w:r>
        <w:br w:type="page"/>
      </w:r>
    </w:p>
    <w:p>
      <w:pPr>
        <w:pStyle w:val="Heading1"/>
        <w:pBdr>
          <w:bottom w:val="single" w:color="D0DCF0" w:sz="6" w:space="4"/>
        </w:pBdr>
        <w:spacing w:before="360" w:after="140"/>
      </w:pPr>
      <w:r>
        <w:rPr>
          <w:rFonts w:ascii="Arial" w:cs="Arial" w:eastAsia="Arial" w:hAnsi="Arial"/>
          <w:b/>
          <w:bCs/>
          <w:color w:val="1E4073"/>
          <w:sz w:val="30"/>
          <w:szCs w:val="30"/>
        </w:rPr>
        <w:t xml:space="preserve">7.  Revalorizacija</w:t>
      </w:r>
    </w:p>
    <w:p>
      <w:pPr>
        <w:spacing w:after="10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Meni: 🔄 Revalorizacija → Knjiženje revalorizacije</w:t>
      </w:r>
    </w:p>
    <w:p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E4073"/>
          <w:sz w:val="24"/>
          <w:szCs w:val="24"/>
        </w:rPr>
        <w:t xml:space="preserve">7.1  Postupak knjiženja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B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Odaberite sredstvo iz padajuće liste</w:t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B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Unesite koeficijent: 1.0500 = +5%,  0.9500 = -5%</w:t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B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Program prikazuje novu nabavnu vrijednost i razliku</w:t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B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Unesite broj temeljnice i napomenu</w:t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5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B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Kliknite 💾 Proknjizi — ovo je NEPOVRATNA radnja</w:t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526"/>
      </w:tblGrid>
      <w:tr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KNJIŽNI ZAPIS</w:t>
            </w:r>
          </w:p>
        </w:tc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EEF3FB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D: Konto OS (povećanje nab.vr.)  ·  P: Revalorizacijska rezerva (330)
D: Revalorizacijska rezerva (330)  ·  P: Konto ispravke (usklađenje)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D0DCF0" w:sz="6" w:space="4"/>
        </w:pBdr>
        <w:spacing w:before="360" w:after="140"/>
      </w:pPr>
      <w:r>
        <w:rPr>
          <w:rFonts w:ascii="Arial" w:cs="Arial" w:eastAsia="Arial" w:hAnsi="Arial"/>
          <w:b/>
          <w:bCs/>
          <w:color w:val="1E4073"/>
          <w:sz w:val="30"/>
          <w:szCs w:val="30"/>
        </w:rPr>
        <w:t xml:space="preserve">8.  Šifarnici</w:t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E4073"/>
          <w:sz w:val="24"/>
          <w:szCs w:val="24"/>
        </w:rPr>
        <w:t xml:space="preserve">8.1  Grupe i kategorije OS</w:t>
      </w:r>
    </w:p>
    <w:p>
      <w:pPr>
        <w:spacing w:after="10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Meni: 🏢 Osnovna Sredstva → Grupe i kategorije</w:t>
      </w:r>
    </w:p>
    <w:p>
      <w:r>
        <w:t xml:space="preserve"/>
      </w:r>
    </w:p>
    <w:p>
      <w:pPr>
        <w:spacing w:after="10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Svaka grupa sadrži default stopu, vijek i kontni plan. Pri odabiru grupe za novo sredstvo, konta i stopa se automatski prenose. Konta možete odabrati klikom na dugme [...] koje otvara popup s listom svih konta iz kontnog plana.</w:t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500"/>
        <w:gridCol w:w="1000"/>
        <w:gridCol w:w="1300"/>
        <w:gridCol w:w="1200"/>
        <w:gridCol w:w="2026"/>
      </w:tblGrid>
      <w:tr>
        <w:trPr>
          <w:tblHeader/>
        </w:trPr>
        <w:tc>
          <w:tcPr>
            <w:tcW w:type="dxa" w:w="1000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Šifra</w:t>
            </w:r>
          </w:p>
        </w:tc>
        <w:tc>
          <w:tcPr>
            <w:tcW w:type="dxa" w:w="2500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Naziv</w:t>
            </w:r>
          </w:p>
        </w:tc>
        <w:tc>
          <w:tcPr>
            <w:tcW w:type="dxa" w:w="1000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Stopa %</w:t>
            </w:r>
          </w:p>
        </w:tc>
        <w:tc>
          <w:tcPr>
            <w:tcW w:type="dxa" w:w="1300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K-Nabavke</w:t>
            </w:r>
          </w:p>
        </w:tc>
        <w:tc>
          <w:tcPr>
            <w:tcW w:type="dxa" w:w="1200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K-Amort.</w:t>
            </w:r>
          </w:p>
        </w:tc>
        <w:tc>
          <w:tcPr>
            <w:tcW w:type="dxa" w:w="2026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K-Ispravke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020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Zemljišta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0%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020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—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021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Građevinski objekti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2,50%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021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540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0291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022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Oprema i postrojenja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20,00%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022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541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0292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023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Računarska oprema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33,33%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022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541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0292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024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Transportna sredstva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15,50%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023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542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0293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025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Namještaj i inventar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10,00%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025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543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0294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029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Nematerijalna imovina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20,00%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013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544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0139</w:t>
            </w:r>
          </w:p>
        </w:tc>
      </w:tr>
    </w:tbl>
    <w:p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E4073"/>
          <w:sz w:val="24"/>
          <w:szCs w:val="24"/>
        </w:rPr>
        <w:t xml:space="preserve">8.2  Lokacije</w:t>
      </w:r>
    </w:p>
    <w:p>
      <w:pPr>
        <w:spacing w:after="10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Meni: 🏢 Osnovna Sredstva → Lokacije</w:t>
      </w:r>
    </w:p>
    <w:p>
      <w:pPr>
        <w:spacing w:after="10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Unos, izmjena i brisanje lokacija. Kliknite na red za uređivanje, dugme 💾 Spremi za snimanje.</w:t>
      </w:r>
    </w:p>
    <w:p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E4073"/>
          <w:sz w:val="24"/>
          <w:szCs w:val="24"/>
        </w:rPr>
        <w:t xml:space="preserve">8.3  Odgovorna lica</w:t>
      </w:r>
    </w:p>
    <w:p>
      <w:pPr>
        <w:spacing w:after="10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Meni: 🏢 Osnovna Sredstva → Odgovorna lica</w:t>
      </w:r>
    </w:p>
    <w:p>
      <w:pPr>
        <w:spacing w:after="10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Puna CRUD forma: Ime i prezime, Odjel, E-mail. Kliknite na red za uređivanje.</w:t>
      </w:r>
    </w:p>
    <w:p>
      <w:r>
        <w:br w:type="page"/>
      </w:r>
    </w:p>
    <w:p>
      <w:pPr>
        <w:pStyle w:val="Heading1"/>
        <w:pBdr>
          <w:bottom w:val="single" w:color="D0DCF0" w:sz="6" w:space="4"/>
        </w:pBdr>
        <w:spacing w:before="360" w:after="140"/>
      </w:pPr>
      <w:r>
        <w:rPr>
          <w:rFonts w:ascii="Arial" w:cs="Arial" w:eastAsia="Arial" w:hAnsi="Arial"/>
          <w:b/>
          <w:bCs/>
          <w:color w:val="1E4073"/>
          <w:sz w:val="30"/>
          <w:szCs w:val="30"/>
        </w:rPr>
        <w:t xml:space="preserve">9.  Izvještaji</w:t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rPr>
          <w:tblHeader/>
        </w:trPr>
        <w:tc>
          <w:tcPr>
            <w:tcW w:type="dxa" w:w="2800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Izvještaj</w:t>
            </w:r>
          </w:p>
        </w:tc>
        <w:tc>
          <w:tcPr>
            <w:tcW w:type="dxa" w:w="6226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Opis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📊 Popis OS po grupama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Sumarni pregled svih OS grupiranih s ukupnim vrijednostima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📑 Godišnji obračun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Amortizacija po sredstvima: poč. stanje, amort., kraj. stanje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📋 Sumarni bilans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Jedan red: aktivna/prodana/rashodovana + ukupne vrijednosti</w:t>
            </w:r>
          </w:p>
        </w:tc>
      </w:tr>
    </w:tbl>
    <w:p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E4073"/>
          <w:sz w:val="24"/>
          <w:szCs w:val="24"/>
        </w:rPr>
        <w:t xml:space="preserve">Izvoz u CSV (Excel)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Odaberite izvještaj i kliknite ▶ Prikaži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Kliknite 💾 Izvoz CSV — odaberite lokaciju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Otvorite u Excelu: Podaci → Iz teksta → separator ';'</w:t>
      </w:r>
    </w:p>
    <w:p>
      <w:r>
        <w:br w:type="page"/>
      </w:r>
    </w:p>
    <w:p>
      <w:pPr>
        <w:pStyle w:val="Heading1"/>
        <w:pBdr>
          <w:bottom w:val="single" w:color="D0DCF0" w:sz="6" w:space="4"/>
        </w:pBdr>
        <w:spacing w:before="360" w:after="140"/>
      </w:pPr>
      <w:r>
        <w:rPr>
          <w:rFonts w:ascii="Arial" w:cs="Arial" w:eastAsia="Arial" w:hAnsi="Arial"/>
          <w:b/>
          <w:bCs/>
          <w:color w:val="1E4073"/>
          <w:sz w:val="30"/>
          <w:szCs w:val="30"/>
        </w:rPr>
        <w:t xml:space="preserve">10.  Česti problemi i rješenja</w:t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300"/>
        <w:gridCol w:w="4226"/>
      </w:tblGrid>
      <w:tr>
        <w:trPr>
          <w:tblHeader/>
        </w:trPr>
        <w:tc>
          <w:tcPr>
            <w:tcW w:type="dxa" w:w="2500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Problem</w:t>
            </w:r>
          </w:p>
        </w:tc>
        <w:tc>
          <w:tcPr>
            <w:tcW w:type="dxa" w:w="2300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Uzrok</w:t>
            </w:r>
          </w:p>
        </w:tc>
        <w:tc>
          <w:tcPr>
            <w:tcW w:type="dxa" w:w="4226"/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Rješenje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Program se ne spaja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Registry podaci nisu ispravni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Podešavanja → Registry debug → Testiraj konekciju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Tabela Podesenja nije dostupna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Tip kolone ne odgovara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Provjeri SQL grešku u Visual Studio Output prozoru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Konto ne postoji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Konto nije u tabeli Konta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Provjeri kontni plan u Elsoftdoo Finans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Amortizacija već proknjižena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Duplikat za isti period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Normalno — zaštita od duplikata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Ne mogu obrisati sredstvo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Ima proknjiženu amortizaciju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Promijeni status na Rashodovano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Grid prekriven filterom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Stari kod u drugoj formi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75"/>
              <w:left w:type="dxa" w:w="120"/>
              <w:bottom w:type="dxa" w:w="75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Ažuriraj na v15 (ispravak Dock redosljeda)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D0DCF0" w:sz="6" w:space="4"/>
        </w:pBdr>
        <w:spacing w:before="360" w:after="140"/>
      </w:pPr>
      <w:r>
        <w:rPr>
          <w:rFonts w:ascii="Arial" w:cs="Arial" w:eastAsia="Arial" w:hAnsi="Arial"/>
          <w:b/>
          <w:bCs/>
          <w:color w:val="1E4073"/>
          <w:sz w:val="30"/>
          <w:szCs w:val="30"/>
        </w:rPr>
        <w:t xml:space="preserve">11.  Radni proces — kraj perioda</w:t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B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Unesite nova sredstva nabavljena u periodu</w:t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B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Obračunajte amortizaciju: Amortizacija → Obračun → Izračunaj → Knjiži SVE</w:t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B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Ako ima revalorizacija — proknjižite ih</w:t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B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Prenesite u GK: Glavna Knjiga → Knjiženje u GK → Knjiži SVE u GK</w:t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5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B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Provjerite bilans naloga (Tab Detalji naloga — Duguje = Potražuje)</w:t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Borders>
              <w:top w:val="single" w:color="1E4073" w:sz="1"/>
              <w:left w:val="single" w:color="1E4073" w:sz="1"/>
              <w:bottom w:val="single" w:color="1E4073" w:sz="1"/>
              <w:right w:val="single" w:color="1E4073" w:sz="1"/>
            </w:tcBorders>
            <w:shd w:fill="1E4073" w:val="clear"/>
            <w:tcMar>
              <w:top w:type="dxa" w:w="90"/>
              <w:left w:type="dxa" w:w="12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6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B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Štampajte/izvezite izvještaje za arhivu</w:t>
            </w:r>
          </w:p>
        </w:tc>
      </w:tr>
    </w:tbl>
    <w:p>
      <w:r>
        <w:t xml:space="preserve"/>
      </w:r>
    </w:p>
    <w:p>
      <w:pPr>
        <w:pBdr>
          <w:top w:val="single" w:color="D0DCF0" w:sz="4" w:space="1"/>
        </w:pBdr>
        <w:spacing w:before="500"/>
        <w:jc w:val="center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Evidencija Osnovnih Sredstava v15  ·  Elsoftdoo Finans integracija  ·  2026</w:t>
      </w:r>
    </w:p>
    <w:sectPr>
      <w:headerReference w:type="default" r:id="rId6"/>
      <w:footerReference w:type="default" r:id="rId7"/>
      <w:pgSz w:w="11906" w:h="16838" w:orient="portrait"/>
      <w:pgMar w:top="1440" w:right="1260" w:bottom="144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0DCF0" w:sz="4" w:space="4"/>
      </w:pBdr>
      <w:jc w:val="center"/>
    </w:pPr>
    <w:r>
      <w:rPr>
        <w:rFonts w:ascii="Arial" w:cs="Arial" w:eastAsia="Arial" w:hAnsi="Arial"/>
        <w:color w:val="777777"/>
        <w:sz w:val="17"/>
        <w:szCs w:val="17"/>
      </w:rPr>
      <w:t xml:space="preserve">Stranica </w:t>
    </w:r>
    <w:r>
      <w:rPr>
        <w:rFonts w:ascii="Arial" w:cs="Arial" w:eastAsia="Arial" w:hAnsi="Arial"/>
        <w:color w:val="1E4073"/>
        <w:sz w:val="17"/>
        <w:szCs w:val="17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777777"/>
        <w:sz w:val="17"/>
        <w:szCs w:val="17"/>
      </w:rPr>
      <w:t xml:space="preserve"> od </w:t>
    </w:r>
    <w:r>
      <w:rPr>
        <w:rFonts w:ascii="Arial" w:cs="Arial" w:eastAsia="Arial" w:hAnsi="Arial"/>
        <w:color w:val="1E4073"/>
        <w:sz w:val="17"/>
        <w:szCs w:val="17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4073" w:sz="4" w:space="4"/>
      </w:pBdr>
    </w:pPr>
    <w:r>
      <w:rPr>
        <w:rFonts w:ascii="Arial" w:cs="Arial" w:eastAsia="Arial" w:hAnsi="Arial"/>
        <w:color w:val="777777"/>
        <w:sz w:val="17"/>
        <w:szCs w:val="17"/>
      </w:rPr>
      <w:t xml:space="preserve">Evidencija Osnovnih Sredstava — Korisnički priručnik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40"/>
      <w:outlineLvl w:val="0"/>
    </w:pPr>
    <w:rPr>
      <w:rFonts w:ascii="Arial" w:cs="Arial" w:eastAsia="Arial" w:hAnsi="Arial"/>
      <w:b/>
      <w:bCs/>
      <w:color w:val="1E4073"/>
      <w:sz w:val="30"/>
      <w:szCs w:val="30"/>
    </w:rPr>
  </w:style>
  <w:style w:type="paragraph" w:styleId="Heading2">
    <w:name w:val="Heading 2"/>
    <w:basedOn w:val="Normal"/>
    <w:next w:val="Normal"/>
    <w:qFormat/>
    <w:pPr>
      <w:spacing w:before="240" w:after="100"/>
      <w:outlineLvl w:val="1"/>
    </w:pPr>
    <w:rPr>
      <w:rFonts w:ascii="Arial" w:cs="Arial" w:eastAsia="Arial" w:hAnsi="Arial"/>
      <w:b/>
      <w:bCs/>
      <w:color w:val="1E4073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80" w:after="80"/>
      <w:outlineLvl w:val="2"/>
    </w:pPr>
    <w:rPr>
      <w:rFonts w:ascii="Arial" w:cs="Arial" w:eastAsia="Arial" w:hAnsi="Arial"/>
      <w:b/>
      <w:bCs/>
      <w:color w:val="444444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2026-03-27T07:32:42.019Z</dcterms:created>
  <dcterms:modified xsi:type="dcterms:W3CDTF">2026-03-27T07:32:42.019Z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