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  <w:jc w:val="center"/>
      </w:pPr>
      <w:r>
        <w:rPr>
          <w:b/>
          <w:bCs/>
          <w:color w:val="1F4E5F"/>
          <w:sz w:val="64"/>
          <w:szCs w:val="64"/>
        </w:rPr>
        <w:t xml:space="preserve">FINANS</w:t>
      </w:r>
    </w:p>
    <w:p>
      <w:pPr>
        <w:spacing w:after="600"/>
        <w:jc w:val="center"/>
      </w:pPr>
      <w:r>
        <w:rPr>
          <w:color w:val="3A6B7D"/>
          <w:sz w:val="30"/>
          <w:szCs w:val="30"/>
        </w:rPr>
        <w:t xml:space="preserve">Uputstvo za korištenje programa</w:t>
      </w:r>
    </w:p>
    <w:p>
      <w:pPr>
        <w:spacing w:after="100"/>
        <w:jc w:val="center"/>
      </w:pPr>
      <w:r>
        <w:rPr>
          <w:b/>
          <w:bCs/>
          <w:sz w:val="24"/>
          <w:szCs w:val="24"/>
        </w:rPr>
        <w:t xml:space="preserve">Dio 5</w:t>
      </w:r>
    </w:p>
    <w:p>
      <w:pPr>
        <w:spacing w:after="1600"/>
        <w:jc w:val="center"/>
      </w:pPr>
      <w:r>
        <w:rPr>
          <w:sz w:val="24"/>
          <w:szCs w:val="24"/>
        </w:rPr>
        <w:t xml:space="preserve">Modul: Ostali dokumenti (ulazni i izlazni računi za usluge)</w:t>
      </w:r>
    </w:p>
    <w:p>
      <w:r>
        <w:br w:type="page"/>
      </w:r>
    </w:p>
    <w:p>
      <w:pPr>
        <w:pStyle w:val="Heading1"/>
      </w:pPr>
      <w:r>
        <w:t xml:space="preserve">Sadržaj</w:t>
      </w:r>
    </w:p>
    <w:sdt>
      <w:sdtPr>
        <w:alias w:val="Sadržaj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Pregled modula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Modul Ostali dokumenti služi za evidentiranje ulaznih i izlaznih računa koji se odnose na usluge i ostale stavke koje ne prolaze kroz robno poslovanje (MP/VP). Tipična upotreba su fakture za elektrinu, telefon, najam, IT usluge, servis, avanse i sl.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Otvara se iz glavnog menija programa, stavka Ostali dokumenti, i ima isti princip rada kao Blagajna (Dio 3) – jedna zajednička forma za sve tipove dokumenata, uz automatsko prilagodjavanje polja zavisno od tipa.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Ključna razlika u odnosu na robni modul: u Ostalim dokumentima nema stavki robe/materijala ni količina – svaka stavka dokumenta je samo tekstualni opis, iznos i PDV. Zato je ovaj modul pogodan za računanje usluga, avansa i kompenzacija.</w:t>
      </w:r>
    </w:p>
    <w:p>
      <w:pPr>
        <w:pStyle w:val="Heading1"/>
      </w:pPr>
      <w:r>
        <w:t xml:space="preserve">2. Otvaranje dokumenta – tipovi dokumenata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Svi dokumenti ovog modula dostupni su iz glavnog menija Ostali dokumenti:</w:t>
      </w:r>
    </w:p>
    <w:p>
      <w:pPr>
        <w:spacing w:after="80" w:before="120"/>
        <w:jc w:val="center"/>
      </w:pPr>
      <w:r>
        <w:drawing>
          <wp:inline distT="0" distB="0" distL="0" distR="0">
            <wp:extent cx="2286000" cy="2333625"/>
            <wp:effectExtent t="0" r="0" b="0" l="0"/>
            <wp:docPr id="1" name="Meni Ostali dokumenti" descr="Meni Ostali dokumenti" title="Meni Ostali dokume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1 – Meni Ostali dokumenti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Stavke menija grupisane su u četiri cjeline:</w:t>
      </w:r>
    </w:p>
    <w:p>
      <w:pPr>
        <w:pStyle w:val="Heading3"/>
      </w:pPr>
      <w:r>
        <w:t xml:space="preserve">2.1 Ulazni dokumenti (primljeni računi od dobavljača)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Tip dokumenta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Avansni račun dob.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Račun za avans (predujam) primljen od dobavljača.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Storno avansnog računa dob.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Storniranje (poništenje) prethodno unesenog avansnog računa dobavljača.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Ostali Ulazni Računi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Standardni ulazni račun za usluge ili ostale troškove (električna energija, telefon, najam, servis i sl.).</w:t>
            </w:r>
          </w:p>
        </w:tc>
      </w:tr>
    </w:tbl>
    <w:p>
      <w:pPr>
        <w:pStyle w:val="Heading3"/>
      </w:pPr>
      <w:r>
        <w:t xml:space="preserve">2.2 Izlazni dokumenti (izdani računi kupcu)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Tip dokumenta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Avansni račun kupcu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Račun za avans izdat kupcu (prijem predujma prije isporuke usluge).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Storno avansa kupcu.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Storniranje prethodno izdanog avansnog računa kupcu.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Ostali Izlazni Računi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Standardni izlazni račun za usluge koje firma ispostavlja kupcu.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Ostali Izlazni Računi Storno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Storniranje prethodno izdanog izlaznog računa.</w:t>
            </w:r>
          </w:p>
        </w:tc>
      </w:tr>
    </w:tbl>
    <w:p>
      <w:pPr>
        <w:pStyle w:val="Heading3"/>
      </w:pPr>
      <w:r>
        <w:t xml:space="preserve">2.3 Knjizna obavijest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Posebna vrsta dokumenta koja kupca obavještava o stanju duga, odobrenju ili teretu, bez neposrednog efekta isporuke robe ili usluge.</w:t>
      </w:r>
    </w:p>
    <w:p>
      <w:pPr>
        <w:pStyle w:val="Heading3"/>
      </w:pPr>
      <w:r>
        <w:t xml:space="preserve">2.4 Prijedlog za kompenzaciju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Dokument kojim se predlaže zatvaranje (materijalno poništenje) uzajamnih potraživanja i obaveza između firme i komitenta kompenzacijom, bez gotovinskog plaćanja.</w:t>
      </w:r>
    </w:p>
    <w:p>
      <w:pPr>
        <w:pStyle w:val="Heading1"/>
      </w:pPr>
      <w:r>
        <w:t xml:space="preserve">3. Izgled forme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Forma je ista za sve tipove dokumenata – mijenja se samo naslov, naziv nekih polja i dostupnost određenih kontrola. Primjer za ulazni račun:</w:t>
      </w:r>
    </w:p>
    <w:p>
      <w:pPr>
        <w:spacing w:after="80" w:before="120"/>
        <w:jc w:val="center"/>
      </w:pPr>
      <w:r>
        <w:drawing>
          <wp:inline distT="0" distB="0" distL="0" distR="0">
            <wp:extent cx="4572000" cy="2476500"/>
            <wp:effectExtent t="0" r="0" b="0" l="0"/>
            <wp:docPr id="1" name="Forma – Ulazni račun" descr="Forma – Ulazni račun" title="Forma – Ulazni rač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2 – Forma za unos ulaznog računa</w:t>
      </w:r>
    </w:p>
    <w:p>
      <w:pPr>
        <w:pStyle w:val="Heading3"/>
      </w:pPr>
      <w:r>
        <w:t xml:space="preserve">3.1 Zaglavlje (Tip i stanje)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Tip dokumenta – padajuća lista (svi tipovi iz poglavlja 2) – mijenja se u toku rada.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Plaćanje – način plaćanja (npr. BEZGOTOVINSKO).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€(Stampa) – kvačica da se dokument štampa i u eurima.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Urač PDV – oznaka da li je PDV uračunat u iznos.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Stanje ulaznih / izlaznih – kumulativni iznos svih unesenih ulaznih, odnosno izlaznih računa (desno gore, veliki broj).</w:t>
      </w:r>
    </w:p>
    <w:p>
      <w:pPr>
        <w:pStyle w:val="Heading3"/>
      </w:pPr>
      <w:r>
        <w:t xml:space="preserve">3.2 Zaglavlje dokumenta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Broj – redni broj dokumenta; dugmići Novi, Idi na…, Snimi nalog, Štampa++, Fiskal, Napomena…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Komitent – tip komitenta (K=kupac/dobavljač, F=fiskalni i dr.) + šifra, dugmići + i …, Fin stanje; desno se prikazuju naziv, adresa, ID broj komitenta i primpremljena napomena (ROK PLAĆANJA i sl., vidi poglavlje 6).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Datum naloga – datum računa.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Opis naloga – kratki interni opis (npr. broj interne knjige, referenca).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Poziv na broj, Datum poziva/Valuta – referentni podaci za plaćanje (EAN/poziv za bankovni transfer, rok valute).</w:t>
      </w:r>
    </w:p>
    <w:p>
      <w:pPr>
        <w:pStyle w:val="Heading3"/>
      </w:pPr>
      <w:r>
        <w:t xml:space="preserve">3.3 Stavka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Svaka stavka dokumenta opisuje jednu uslugu ili troškovnu liniju: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Opis – tekstualni opis stavke (npr. "USLUGE (zamjena računara i podešenje)").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Iznos – iznos stavke; dugme Rate otvara unos otplate na rate.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PDV koji se može odbiti – iznos/postotak ulaznog PDV-a koji se po ovoj stavci može odbiti (relevantno za ulazne račune).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%Konto – konto troška ili prihoda za ovu stavku (vidljivo samo kod nekih tipova, npr. ulaznog računa).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Analitika – analitička oznaka (tip F + šifra; npr. F = faktura, ili unutrašnja analitička oznaka; dostupno samo za neke tipove dokumenata).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Neoporezivi dio, Konto neopor.dio – dio iznosa koji nije predmet PDV-a (npr. troškovi pružni u ime kupca – poštarina, prijevoz) i konto na koji se taj dio knjiži.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Dodaj, U selektirani, Briši selektirani, Briši sve – upravljanje stavkama.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Ukupno za nalog, Valuta – zbir svih stavki i valuta (npr. KM).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Tabela stavki (Rbr, Opis, Iznos, Rate, PDV za odbiti, Konto, KonTo N, Neoprezivo) – prikaz unesenih stavki.</w:t>
      </w:r>
    </w:p>
    <w:p>
      <w:pPr>
        <w:pStyle w:val="Heading1"/>
      </w:pPr>
      <w:r>
        <w:t xml:space="preserve">4. Posebnosti pojedinih tipova dokumenata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Forma se prilagodjava tipu dokumenta – u nastavku su prikazane ključne razlike.</w:t>
      </w:r>
    </w:p>
    <w:p>
      <w:pPr>
        <w:pStyle w:val="Heading3"/>
      </w:pPr>
      <w:r>
        <w:t xml:space="preserve">4.1 Izlazni račun</w:t>
      </w:r>
    </w:p>
    <w:p>
      <w:pPr>
        <w:spacing w:after="80" w:before="120"/>
        <w:jc w:val="center"/>
      </w:pPr>
      <w:r>
        <w:drawing>
          <wp:inline distT="0" distB="0" distL="0" distR="0">
            <wp:extent cx="4572000" cy="2305050"/>
            <wp:effectExtent t="0" r="0" b="0" l="0"/>
            <wp:docPr id="1" name="Forma – Izlazni račun" descr="Forma – Izlazni račun" title="Forma – Izlazni rač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3 – Forma za unos izlaznog računa (primjer: FASELL doo, usluge 58,50 KM)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Izlazni račun je izlaz prema kupcu. Polje Stanje izlaznih (gornji desni ugao) prikazuje kumulativni iznos svih izlaznih računa. Nema polja %Konto (koje se javlja kod ulaznog računa), a napomena prikmjenjena u zaglavlju (npr. „ROK PLAĆANJA RAČUNA 30 DANA“) štampa se na računu.</w:t>
      </w:r>
    </w:p>
    <w:p>
      <w:pPr>
        <w:pStyle w:val="Heading3"/>
      </w:pPr>
      <w:r>
        <w:t xml:space="preserve">4.2 Storno izlaznog računa</w:t>
      </w:r>
    </w:p>
    <w:p>
      <w:pPr>
        <w:spacing w:after="80" w:before="120"/>
        <w:jc w:val="center"/>
      </w:pPr>
      <w:r>
        <w:drawing>
          <wp:inline distT="0" distB="0" distL="0" distR="0">
            <wp:extent cx="4572000" cy="2324100"/>
            <wp:effectExtent t="0" r="0" b="0" l="0"/>
            <wp:docPr id="1" name="Forma – Storno izlaznog računa" descr="Forma – Storno izlaznog računa" title="Forma – Storno izlaznog rač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4 – Forma za storno izlaznog računa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Storno korištava isti komitent i isti izgled kao izlazni račun, ali s negativnim iznosima ili posebnom oznakom tipa, čime se poništava efekt originalnog računa.</w:t>
      </w:r>
    </w:p>
    <w:p>
      <w:pPr>
        <w:pStyle w:val="Heading3"/>
      </w:pPr>
      <w:r>
        <w:t xml:space="preserve">4.3 Knjizna obavijest</w:t>
      </w:r>
    </w:p>
    <w:p>
      <w:pPr>
        <w:spacing w:after="80" w:before="120"/>
        <w:jc w:val="center"/>
      </w:pPr>
      <w:r>
        <w:drawing>
          <wp:inline distT="0" distB="0" distL="0" distR="0">
            <wp:extent cx="4381500" cy="2724150"/>
            <wp:effectExtent t="0" r="0" b="0" l="0"/>
            <wp:docPr id="1" name="Forma – Knjizna obavijest" descr="Forma – Knjizna obavijest" title="Forma – Knjizna obavij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5 – Forma za knjiznu obavijest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Forma knjizne obavijesti ne sadrži polje %Konto niti Neoporezivi dio – čisto je informativnog karaktera. Koristi se za obavještavanje kupca o teretu (zaduzenju) ili odobrenju bez isporuke robe/usluge.</w:t>
      </w:r>
    </w:p>
    <w:p>
      <w:pPr>
        <w:pStyle w:val="Heading3"/>
      </w:pPr>
      <w:r>
        <w:t xml:space="preserve">4.4 Prijedlog za kompenzaciju</w:t>
      </w:r>
    </w:p>
    <w:p>
      <w:pPr>
        <w:spacing w:after="80" w:before="120"/>
        <w:jc w:val="center"/>
      </w:pPr>
      <w:r>
        <w:drawing>
          <wp:inline distT="0" distB="0" distL="0" distR="0">
            <wp:extent cx="4572000" cy="2514600"/>
            <wp:effectExtent t="0" r="0" b="0" l="0"/>
            <wp:docPr id="1" name="Forma – Prijedlog za kompenzaciju" descr="Forma – Prijedlog za kompenzaciju" title="Forma – Prijedlog za kompenzaci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6 – Forma za prijedlog kompenzacije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Kompenzacija se koristi kad firma ima istovremeno i potraživanje i obavezu prema istom komitentu, pa se međusobni dugovi poništavaju bez gotovinskog toka. Na ovoj formi se evidentira iznos koji se kompenzuje i komitent. Obje strane (i firma i komitent) trebaju prihvatiti prijedlog – potpisani dokument služi kao osnova za knjizenje zatvaranja otvorenih stavki u Glavnoj knjizi.</w:t>
      </w:r>
    </w:p>
    <w:p>
      <w:pPr>
        <w:pStyle w:val="Heading1"/>
      </w:pPr>
      <w:r>
        <w:t xml:space="preserve">5. Meniji modula</w:t>
      </w:r>
    </w:p>
    <w:p>
      <w:pPr>
        <w:pStyle w:val="Heading3"/>
      </w:pPr>
      <w:r>
        <w:t xml:space="preserve">5.1 Meni „Šifarnik“</w:t>
      </w:r>
    </w:p>
    <w:p>
      <w:pPr>
        <w:spacing w:after="80" w:before="120"/>
        <w:jc w:val="center"/>
      </w:pPr>
      <w:r>
        <w:drawing>
          <wp:inline distT="0" distB="0" distL="0" distR="0">
            <wp:extent cx="2857500" cy="1304925"/>
            <wp:effectExtent t="0" r="0" b="0" l="0"/>
            <wp:docPr id="1" name="Meni Šifarnik – Ostali dokumenti" descr="Meni Šifarnik – Ostali dokumenti" title="Meni Šifarnik – Ostali dokume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7 – Meni Šifarnik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Meni Šifarnik u ovom modulu sadrži samo: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Šifarnik komitenata… – isti šifarnik kupaca i dobavljača kao u modulu Robno (Dio 1, poglavlje 5.2.1); sva ista polja (PDV broj, konta, entitet/lokacija).</w:t>
      </w:r>
    </w:p>
    <w:p>
      <w:pPr>
        <w:pStyle w:val="Heading3"/>
      </w:pPr>
      <w:r>
        <w:t xml:space="preserve">5.2 Meni „Pregled“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Meni Pregled sadrži izvještaje specifične za ovaj modul (nema screenshota menija, ali izvještaji su prikazani dalje u poglavlju 6).</w:t>
      </w:r>
    </w:p>
    <w:p>
      <w:pPr>
        <w:pStyle w:val="Heading1"/>
      </w:pPr>
      <w:r>
        <w:t xml:space="preserve">6. Napomena na dokumentu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Dugme Napomena… u zaglavlju dokumenta otvara dijalog za unos i upravljanje napomenama koje se mogu štampati na računu (npr. rok plaćanja, tekst o dugu kupca):</w:t>
      </w:r>
    </w:p>
    <w:p>
      <w:pPr>
        <w:spacing w:after="80" w:before="120"/>
        <w:jc w:val="center"/>
      </w:pPr>
      <w:r>
        <w:drawing>
          <wp:inline distT="0" distB="0" distL="0" distR="0">
            <wp:extent cx="4381500" cy="2790825"/>
            <wp:effectExtent t="0" r="0" b="0" l="0"/>
            <wp:docPr id="1" name="Dijalog Napomena" descr="Dijalog Napomena" title="Dijalog Napom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8 – Dijalog Napomena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Primpremljena napomena – padajuća lista sa predefinisanim predlošcima napomena (npr. „izvoz“). Dugmići Nova…, Edituj…, Briši… služe za upravljanje predlošcima.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Gornji tekstualni okvir – prikaz kratkog naslova odabrane napomene (npr. „ROK PLAĆANJA RAČUNA 30 DANA“).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Donji tekstualni okvir – puni tekst napomene koji će biti otištampan na računu (može se slobodno editovati; Ctrl+Enter za novu liniju).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Prihvati / Odustani – primjenjuje odnosno otkazuje odabranu napomenu.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Primijenjena napomena prikazuje se i u zaglavlju forme, u polju desno od naziva komitenta (vidi Sliku 3: „ROK PLAĆANJA RAČUNA 30 DANA“), te se štampa na računu.</w:t>
      </w: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Napomene se mogu unaprijed pripremiti za različite situacije (rok plaćanja 30 dana, obavijest o dugu, uvjeti isporuke za izvoz i sl.) i koristiti ponovo na svakom novom računu odabirom iz padajuće liste.</w:t>
      </w:r>
    </w:p>
    <w:p>
      <w:pPr>
        <w:pStyle w:val="Heading1"/>
      </w:pPr>
      <w:r>
        <w:t xml:space="preserve">7. Kartica komitenta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Iz menija Pregled dostupna je Kartica komitenta – isti dijalog kao u Blagajni (Dio 3, poglavlje 5.1), ali ovdje prikazuje kretanje ulaznih/izlaznih računa za odabranog komitenta:</w:t>
      </w:r>
    </w:p>
    <w:p>
      <w:pPr>
        <w:spacing w:after="80" w:before="120"/>
        <w:jc w:val="center"/>
      </w:pPr>
      <w:r>
        <w:drawing>
          <wp:inline distT="0" distB="0" distL="0" distR="0">
            <wp:extent cx="3619500" cy="1381125"/>
            <wp:effectExtent t="0" r="0" b="0" l="0"/>
            <wp:docPr id="1" name="Kartica komitenta – Ostali dokumenti" descr="Kartica komitenta – Ostali dokumenti" title="Kartica komitenta – Ostali dokume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9 – Dijalog Kartica komitenta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Prikaži sve naloge sumarno / Prikaži naloge samo za jednog komitenta – obim izvještaja.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Komitent – tip (K) i šifra komitenta, ako je izabrana druga opcija.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Od datuma, Do datuma – period izvještaja.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Prikaži, Odustani – pokreće odnosno otkazuje izvještaj.</w:t>
      </w:r>
    </w:p>
    <w:p>
      <w:pPr>
        <w:pStyle w:val="Heading1"/>
      </w:pPr>
      <w:r>
        <w:t xml:space="preserve">8. Izvještaji</w:t>
      </w:r>
    </w:p>
    <w:p>
      <w:pPr>
        <w:pStyle w:val="Heading3"/>
      </w:pPr>
      <w:r>
        <w:t xml:space="preserve">8.1 Dnevnik ulaznih (izlaznih) računa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Hronološki pregled svih ulaznih (ili izlaznih) računa u periodu, sa PDV-om i iznosima:</w:t>
      </w:r>
    </w:p>
    <w:p>
      <w:pPr>
        <w:spacing w:after="80" w:before="120"/>
        <w:jc w:val="center"/>
      </w:pPr>
      <w:r>
        <w:drawing>
          <wp:inline distT="0" distB="0" distL="0" distR="0">
            <wp:extent cx="4572000" cy="3238500"/>
            <wp:effectExtent t="0" r="0" b="0" l="0"/>
            <wp:docPr id="1" name="Dnevnik ulaznih računa" descr="Dnevnik ulaznih računa" title="Dnevnik ulaznih rač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10 – Primjer Dnevnika ulaznih računa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Rbr, DATUM, BROJ – redni broj, datum i broj dokumenta (npr. B0/41-1).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OPIS DOKUMENTA – opis stavke računa (npr. ptt, gorivo, EL ENERGIJA, TELEFONIJA).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Šifra, Naziv komitenta – šifra i naziv komitenta (npr. K771 BH TELEKOM Sarajevo, K850 MESIC-COM doo, K767 Elektrodistribucija DD Sarajevo).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IZNOS BEZ PDV-a – iznos bez poreza.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PDV IZNOS – iznos PDV-a.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PDV ZA ODBITI – dio PDV-a koji se može odbiti kao ulazni (relevantno za firme u sistemu PDV-a).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IZNOS SA PDV-om – ukupni iznos sa porezom.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Vidljivo je i da se pod ovaj modul evidentiraju i BO/51-x dokumenti koji su obročuni (polog na banku i sl.), dok redovni ulazni računi koriste BO/41-x oznake.</w:t>
      </w:r>
    </w:p>
    <w:p>
      <w:pPr>
        <w:pStyle w:val="Heading3"/>
      </w:pPr>
      <w:r>
        <w:t xml:space="preserve">8.2 Trgovačka knjiga usluga (TKU)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Posebni propisani registar za evidenciju pruženih usluga:</w:t>
      </w:r>
    </w:p>
    <w:p>
      <w:pPr>
        <w:spacing w:after="80" w:before="120"/>
        <w:jc w:val="center"/>
      </w:pPr>
      <w:r>
        <w:drawing>
          <wp:inline distT="0" distB="0" distL="0" distR="0">
            <wp:extent cx="4572000" cy="1123950"/>
            <wp:effectExtent t="0" r="0" b="0" l="0"/>
            <wp:docPr id="1" name="TKU izvještaj" descr="TKU izvještaj" title="TKU izvješt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11 – Zaglavlje Trgovačke knjige usluga (TKU)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Rbr, DATUM, BROJ – redni broj i identifikacija dokumenta.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OPIS DOKUMENTA, Šifra, Naziv komitenta – opis i identifikacija komitenta.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IZNOS BEZ PDV, PDV, IZNOS SA PDV – kolonski raspored isti kao kod Dnevnika ulaznih računa.</w:t>
      </w: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TKU je formalni dokument koji se može koristiti kao osnova za PDV prijavu i za KUF/KIF evidenciju. Za više o KUF/KIF, vidi Dio 4 (Finansije, poglavlje 6).</w:t>
      </w:r>
    </w:p>
    <w:p>
      <w:pPr>
        <w:pStyle w:val="Heading1"/>
      </w:pPr>
      <w:r>
        <w:t xml:space="preserve">9. Koraci – unos ulaznog računa za usluge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Primjer: unos računa za električnu energiju od dobavljača.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 glavnom meniju izaberite Ostali dokumenti → Ostali Ulazni Računi.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Iz padajuće liste Tip dokumenta provjerite da je izabran „Ulazni račun“.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Komitent: izaberite tip K, unesite šifru dobavljača ili ga potražite dugmetom „…“.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Unesite Datum naloga, Opis naloga i Poziv na broj.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 polju Opis unesite opis usluge, a u Iznos unesite ukupni iznos (sa ili bez PDV-a, zavisno od kvačice Urač PDV).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Popunite PDV koji se može odbiti i, ako je potrebno, %Konto za knjiženje troška.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Kliknite Dodaj. Ponovite za svaku stavku računa (npr. različite usluge na istoj fakturi).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Provjerite Ukupno za nalog, te kliknite Snimi nalog.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Po potrebi odaberite Napomenu (poglavlje 6) i odštampajte dugmetom Štampa++.</w:t>
      </w:r>
    </w:p>
    <w:p>
      <w:pPr>
        <w:pStyle w:val="Heading1"/>
      </w:pPr>
      <w:r>
        <w:t xml:space="preserve">10. Koraci – unos izlaznog računa za usluge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Primjer: izdavanje računa kupcu za IT usluge.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U glavnom meniju izaberite Ostali dokumenti → Ostali Izlazni Računi.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Provjerite tip dokumenta (Izlazni račun).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Komitent: izaberite kupca (tip K + šifra).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Unesite Datum naloga, Opis naloga i Datum poziva/Valuta (rok plaćanja).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Kliknite Napomena… i odaberite primpremljenu napomenu s rokom plaćanja (npr. 30 dana), pa kliknite Prihvati.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U stavci unesite Opis usluge, Iznos i PDV.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Kliknite Dodaj i ponovite za sve stavke.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Kliknite Snimi nalog i odštampajte račun (Štampa++). Na računu će biti otisnuta napomena o roku plaćanja.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6"/>
        <w:szCs w:val="16"/>
      </w:rPr>
      <w:t xml:space="preserve">Stranica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6"/>
        <w:szCs w:val="16"/>
      </w:rPr>
      <w:t xml:space="preserve">Finans – Uputstvo za korisnike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‒"/>
      <w:lvlJc w:val="left"/>
      <w:pPr>
        <w:ind w:left="98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360"/>
      <w:outlineLvl w:val="0"/>
    </w:pPr>
    <w:rPr>
      <w:rFonts w:ascii="Arial" w:cs="Arial" w:eastAsia="Arial" w:hAnsi="Arial"/>
      <w:b/>
      <w:bCs/>
      <w:color w:val="1F4E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20"/>
      <w:outlineLvl w:val="2"/>
    </w:pPr>
    <w:rPr>
      <w:rFonts w:ascii="Arial" w:cs="Arial" w:eastAsia="Arial" w:hAnsi="Arial"/>
      <w:b/>
      <w:bCs/>
      <w:color w:val="3A6B7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ad749edc93a924e8d4d10de73585e76fda3e85c3.png"/><Relationship Id="rId10" Type="http://schemas.openxmlformats.org/officeDocument/2006/relationships/image" Target="media/72362921d3835ce50ae9103bb8ecbc7bd8d869d8.png"/><Relationship Id="rId11" Type="http://schemas.openxmlformats.org/officeDocument/2006/relationships/image" Target="media/ffeef50e6229d1b4f643e379dba14b208ba44bba.png"/><Relationship Id="rId12" Type="http://schemas.openxmlformats.org/officeDocument/2006/relationships/image" Target="media/6bbb2081c4c08ea5af97545ce6bec80b42db16ab.png"/><Relationship Id="rId13" Type="http://schemas.openxmlformats.org/officeDocument/2006/relationships/image" Target="media/bbcc9a0aa240ae6eb55ec2a47a2d8403449725f8.png"/><Relationship Id="rId14" Type="http://schemas.openxmlformats.org/officeDocument/2006/relationships/image" Target="media/ac561b5b589ffe3d121dc27e2e7ff1058f211aa9.png"/><Relationship Id="rId15" Type="http://schemas.openxmlformats.org/officeDocument/2006/relationships/image" Target="media/83eed1ab1002eae4d2ce2d2ded2ea7e99a1fa56c.png"/><Relationship Id="rId16" Type="http://schemas.openxmlformats.org/officeDocument/2006/relationships/image" Target="media/d824bb8713ec364d6a2583b6be59742ccdb9ad86.png"/><Relationship Id="rId17" Type="http://schemas.openxmlformats.org/officeDocument/2006/relationships/image" Target="media/8d3d39a20aed04bae6eec2427c96fff1f9f29ffb.png"/><Relationship Id="rId18" Type="http://schemas.openxmlformats.org/officeDocument/2006/relationships/image" Target="media/bc30169ccac8ae9cfffd9d745d2b28b1d2abef92.png"/><Relationship Id="rId19" Type="http://schemas.openxmlformats.org/officeDocument/2006/relationships/image" Target="media/0d5923ff4c9f93a3fc8afaa18281863bf640710a.png"/><Relationship Id="rId2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2026-07-02T09:00:19.393Z</dcterms:created>
  <dcterms:modified xsi:type="dcterms:W3CDTF">2026-07-02T09:00:19.407Z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