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200"/>
        <w:jc w:val="center"/>
      </w:pPr>
      <w:r>
        <w:rPr>
          <w:b/>
          <w:bCs/>
          <w:color w:val="1F4E5F"/>
          <w:sz w:val="64"/>
          <w:szCs w:val="64"/>
        </w:rPr>
        <w:t xml:space="preserve">FINANS</w:t>
      </w:r>
    </w:p>
    <w:p>
      <w:pPr>
        <w:spacing w:after="600"/>
        <w:jc w:val="center"/>
      </w:pPr>
      <w:r>
        <w:rPr>
          <w:color w:val="3A6B7D"/>
          <w:sz w:val="30"/>
          <w:szCs w:val="30"/>
        </w:rPr>
        <w:t xml:space="preserve">Uputstvo za korištenje programa</w:t>
      </w:r>
    </w:p>
    <w:p>
      <w:pPr>
        <w:spacing w:after="100"/>
        <w:jc w:val="center"/>
      </w:pPr>
      <w:r>
        <w:rPr>
          <w:b/>
          <w:bCs/>
          <w:sz w:val="24"/>
          <w:szCs w:val="24"/>
        </w:rPr>
        <w:t xml:space="preserve">Dio 4</w:t>
      </w:r>
    </w:p>
    <w:p>
      <w:pPr>
        <w:spacing w:after="1600"/>
        <w:jc w:val="center"/>
      </w:pPr>
      <w:r>
        <w:rPr>
          <w:sz w:val="24"/>
          <w:szCs w:val="24"/>
        </w:rPr>
        <w:t xml:space="preserve">Modul: Finansije – Glavna knjiga</w:t>
      </w:r>
    </w:p>
    <w:p>
      <w:r>
        <w:br w:type="page"/>
      </w:r>
    </w:p>
    <w:p>
      <w:pPr>
        <w:pStyle w:val="Heading1"/>
      </w:pPr>
      <w:r>
        <w:t xml:space="preserve">Sadržaj</w:t>
      </w:r>
    </w:p>
    <w:sdt>
      <w:sdtPr>
        <w:alias w:val="Sadržaj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</w:pPr>
      <w:r>
        <w:t xml:space="preserve">1. Pregled modula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Glavna knjiga je centralni modul dvojnog knjigovodstva u programu Finans. Ovdje se, kroz knjigovodstvene naloge, knjiže sve promjene na kontima glavne knjige – bilo ručno, bilo automatski na osnovu dokumenata iz drugih modula (Robno, Materijalno, Blagajna, Ostali dokumenti).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Otvara se iz glavnog menija: Finansije → Glavna knjiga (postoji i stavka Glavna knjiga 2026+, vjerovatno za rad u bazi naredne poslovne godine prije njenog formalnog zaključenja – nije potvrđeno u ovom uputstvu).</w:t>
      </w:r>
    </w:p>
    <w:p>
      <w:pPr>
        <w:pBdr>
          <w:left w:val="single" w:color="1F4E5F" w:sz="12" w:space="8"/>
        </w:pBdr>
        <w:spacing w:after="160" w:before="120"/>
        <w:ind w:left="120"/>
      </w:pPr>
      <w:r>
        <w:rPr>
          <w:i/>
          <w:iCs/>
          <w:color w:val="1F4E5F"/>
        </w:rPr>
        <w:t xml:space="preserve">Detalj o razlici između „Glavna knjiga“ i „Glavna knjiga 2026+“ nije potvrđen – javi ako treba preciznije objašnjenje.</w:t>
      </w:r>
    </w:p>
    <w:p>
      <w:pPr>
        <w:pStyle w:val="Heading1"/>
      </w:pPr>
      <w:r>
        <w:t xml:space="preserve">2. Izgled forme „Nalog“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Knjiženje se radi kroz dokument koji se zove Nalog (knjigovodstveni nalog), sa zaglavljem i tabelom stavki (kontiranje):</w:t>
      </w:r>
    </w:p>
    <w:p>
      <w:pPr>
        <w:spacing w:after="80" w:before="120"/>
        <w:jc w:val="center"/>
      </w:pPr>
      <w:r>
        <w:drawing>
          <wp:inline distT="0" distB="0" distL="0" distR="0">
            <wp:extent cx="4953000" cy="1714500"/>
            <wp:effectExtent t="0" r="0" b="0" l="0"/>
            <wp:docPr id="1" name="Forma Glavna knjiga – Nalog" descr="Forma Glavna knjiga – Nalog" title="Forma Glavna knjiga – Na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80"/>
        <w:jc w:val="center"/>
      </w:pPr>
      <w:r>
        <w:rPr>
          <w:i/>
          <w:iCs/>
          <w:color w:val="555555"/>
          <w:sz w:val="18"/>
          <w:szCs w:val="18"/>
        </w:rPr>
        <w:t xml:space="preserve">Slika 1 – Forma Glavna knjiga (primjer: knjiženje izvoda banke)</w:t>
      </w:r>
    </w:p>
    <w:p>
      <w:pPr>
        <w:pStyle w:val="Heading3"/>
      </w:pPr>
      <w:r>
        <w:t xml:space="preserve">2.1 Zaglavlje naloga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Broj naloga – redni broj naloga, sa navigacijom (&lt; &gt;), dugmići Novi, Idi na…, Snimi, Napomena…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Opis naloga, Skraćeni naziv – npr. „IZVOD BANKE BR. 1“ / „IZV“.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Datum otvaranja – datum kada je nalog otvoren.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Ukupno duguje / Ukupno potražuje / Saldo – kontrolni zbir svih stavki naloga; Saldo mora biti 0,00 da bi nalog bio knjigovodstveno ispravan (duguje = potražuje).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Finas++ , Pregled++ – dodatne akcije/pregledi vezani za nalog.</w:t>
      </w:r>
    </w:p>
    <w:p>
      <w:pPr>
        <w:pStyle w:val="Heading3"/>
      </w:pPr>
      <w:r>
        <w:t xml:space="preserve">2.2 Stavka (kontiranje)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Konto – šifra konta na koji se knjiži stavka (npr. klasa „3“ = Kapital, ili konkretan konto npr. 2110, 200000), sa dugmićima „+“ i „…“ (vidi opće obrasce u Dio 0).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Analitika – tip i šifra analitičke evidencije (npr. potkonto kupca/dobavljača) vezane za odabrani konto.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Protu-konto, Protu-analitika – omogućavaju brz unos kada stavka ima jasan „par“ (konto i njegova suprotna strana), bez potrebe za zasebnim drugim redom.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Datum knjiženja, Datum valute – računovodstveni datum knjiženja i datum valute (npr. za obračun kamata/zatezanja).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Duguje, Potražuje – iznos na dugovnoj odnosno potražnoj strani stavke.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Poziv na broj, Opis – dodatni opis i veza sa drugim dokumentom (npr. brojem izvoda).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Dodaj, U selektirani, Novi stavak, Briši sel., Briši sve – upravljanje stavkama naloga.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Tabela ispod (Rbr, Datum, Konto, TA, Analitika, Naziv konta, Naziv analitike, Duguje, Potražuje, Opis, Poziv na broj, Datum valute) – prikaz svih stavki naloga.</w:t>
      </w:r>
    </w:p>
    <w:p>
      <w:pPr>
        <w:pBdr>
          <w:left w:val="single" w:color="1F4E5F" w:sz="12" w:space="8"/>
        </w:pBdr>
        <w:spacing w:after="160" w:before="120"/>
        <w:ind w:left="120"/>
      </w:pPr>
      <w:r>
        <w:rPr>
          <w:i/>
          <w:iCs/>
          <w:color w:val="1F4E5F"/>
        </w:rPr>
        <w:t xml:space="preserve">Kolona TA u tabeli stavki vjerovatno predstavlja „Tip analitike“ (npr. K za kupce) – tačno značenje nije potvrđeno; ako se razlikuje, javi da ispravim.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Primjer na slici 1: knjiženje izvoda banke (IZVOD BANKE BR. 1) – tri stavke razdužuju potraživanja od kupaca (konto 2110, analitike pojedinačnih kupaca, na potražnoj strani), a četvrta stavka zadužuje žiro-račun (konto 200000) za zbirni iznos 573,30, sa opisom „Zbirno po izvodu br. 1“.</w:t>
      </w:r>
    </w:p>
    <w:p>
      <w:pPr>
        <w:pStyle w:val="Heading1"/>
      </w:pPr>
      <w:r>
        <w:t xml:space="preserve">3. Meni „Šifarnik“</w:t>
      </w:r>
    </w:p>
    <w:p>
      <w:pPr>
        <w:spacing w:after="80" w:before="120"/>
        <w:jc w:val="center"/>
      </w:pPr>
      <w:r>
        <w:drawing>
          <wp:inline distT="0" distB="0" distL="0" distR="0">
            <wp:extent cx="2857500" cy="2200275"/>
            <wp:effectExtent t="0" r="0" b="0" l="0"/>
            <wp:docPr id="1" name="Meni Šifarnik – Glavna knjiga" descr="Meni Šifarnik – Glavna knjiga" title="Meni Šifarnik – Glavna knji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80"/>
        <w:jc w:val="center"/>
      </w:pPr>
      <w:r>
        <w:rPr>
          <w:i/>
          <w:iCs/>
          <w:color w:val="555555"/>
          <w:sz w:val="18"/>
          <w:szCs w:val="18"/>
        </w:rPr>
        <w:t xml:space="preserve">Slika 2 – Meni Šifarnik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rPr>
          <w:tblHeader/>
        </w:trP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Stavka menija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Objašnjenje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Šifarnik konta…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Kontni plan firme – spisak svih konta glavne knjige.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Šifarnik analitike…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Šifarnik analitičkih evidencija (potkonta) vezanih za konta.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Štampa šifara konta / abecedno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Štampa kontnog plana, po šifri odnosno abecedno po nazivu.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Štampa šifara analitike / abecedno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Štampa šifarnika analitike, po šifri odnosno abecedno po nazivu.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Eksportuj mape konta… / Importuj mape konta…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Izvoz odnosno uvoz mapiranja konta (npr. za prelazak na novi kontni plan ili razmjenu sa drugom bazom).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Promjeni šifre konta…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Masovna promjena (preimenovanje) šifri konta.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Preuzmi početno stanje iz prethodne godine…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Preuzima početna stanja konta i analitike iz baze prethodne poslovne godine (vidi poglavlje 3.1).</w:t>
            </w:r>
          </w:p>
        </w:tc>
      </w:tr>
    </w:tbl>
    <w:p>
      <w:pPr>
        <w:pStyle w:val="Heading3"/>
      </w:pPr>
      <w:r>
        <w:t xml:space="preserve">3.1 Preuzimanje početnog stanja iz prethodne godine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Otvara dijalog za izbor firme/baze prethodne godine iz koje se preuzima početno stanje:</w:t>
      </w:r>
    </w:p>
    <w:p>
      <w:pPr>
        <w:spacing w:after="80" w:before="120"/>
        <w:jc w:val="center"/>
      </w:pPr>
      <w:r>
        <w:drawing>
          <wp:inline distT="0" distB="0" distL="0" distR="0">
            <wp:extent cx="4381500" cy="2552700"/>
            <wp:effectExtent t="0" r="0" b="0" l="0"/>
            <wp:docPr id="1" name="Odaberi firmu za preuzimanje poč. stanja" descr="Odaberi firmu za preuzimanje poč. stanja" title="Odaberi firmu za preuzimanje poč. sta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80"/>
        <w:jc w:val="center"/>
      </w:pPr>
      <w:r>
        <w:rPr>
          <w:i/>
          <w:iCs/>
          <w:color w:val="555555"/>
          <w:sz w:val="18"/>
          <w:szCs w:val="18"/>
        </w:rPr>
        <w:t xml:space="preserve">Slika 3 – Odaberi firmu za preuzimanje početnog stanja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Lista i kolone su iste kao na ekranu Odabir firme (Dio 0, poglavlje 2). Selektuje se firma/godina iz koje se preuzima stanje, a zatim se klikne Preuzmi.</w:t>
      </w:r>
    </w:p>
    <w:p>
      <w:pPr>
        <w:pStyle w:val="Heading1"/>
      </w:pPr>
      <w:r>
        <w:t xml:space="preserve">4. Meni „Pregled“</w:t>
      </w:r>
    </w:p>
    <w:p>
      <w:pPr>
        <w:spacing w:after="80" w:before="120"/>
        <w:jc w:val="center"/>
      </w:pPr>
      <w:r>
        <w:drawing>
          <wp:inline distT="0" distB="0" distL="0" distR="0">
            <wp:extent cx="2857500" cy="5105400"/>
            <wp:effectExtent t="0" r="0" b="0" l="0"/>
            <wp:docPr id="1" name="Meni Pregled – Glavna knjiga" descr="Meni Pregled – Glavna knjiga" title="Meni Pregled – Glavna knji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2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80"/>
        <w:jc w:val="center"/>
      </w:pPr>
      <w:r>
        <w:rPr>
          <w:i/>
          <w:iCs/>
          <w:color w:val="555555"/>
          <w:sz w:val="18"/>
          <w:szCs w:val="18"/>
        </w:rPr>
        <w:t xml:space="preserve">Slika 4 – Meni Pregled</w:t>
      </w:r>
    </w:p>
    <w:p>
      <w:pPr>
        <w:pStyle w:val="Heading3"/>
      </w:pPr>
      <w:r>
        <w:t xml:space="preserve">4.1 Štampa, dnevnik i izvoz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rPr>
          <w:tblHeader/>
        </w:trP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Stavka menija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Objašnjenje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Štampa naloga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Štampa trenutnog naloga.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Nalozi kumulativno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Štampa/pregled više naloga zbirno.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Dnevnik knjiženja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Hronološki dnevnik svih knjiženja (osnovna knjigovodstvena evidencija).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Export u Excel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Izvoz prikazanih podataka u Excel.</w:t>
            </w:r>
          </w:p>
        </w:tc>
      </w:tr>
    </w:tbl>
    <w:p>
      <w:pPr>
        <w:pStyle w:val="Heading3"/>
      </w:pPr>
      <w:r>
        <w:t xml:space="preserve">4.2 Kartice i bilansi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rPr>
          <w:tblHeader/>
        </w:trP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Stavka menija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Objašnjenje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Kartica konta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Kartica kretanja (duguje/potražuje) za odabrani konto.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Kartica analitike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Kartica kretanja za odabranu analitiku (npr. jednog kupca/dobavljača).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Kartica analitike po kontima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Kartica analitike, raščlanjena po kontima na kojima se javlja.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Bilans analitike I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Bilans (stanje) svih analitika.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Bilans analitike II (kompenzacija)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Bilans analitike pripremljen za kompenzaciju potraživanja/obaveza.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Bilans analitike po kontima…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Bilans analitike raščlanjen po kontima.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Bilans konta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Bilans (stanje) svih konta.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Bilans sintetike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Bilans na nivou sintetičkih konta.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Bilans klase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Bilans na nivou klase konta (najviši nivo kontnog plana).</w:t>
            </w:r>
          </w:p>
        </w:tc>
      </w:tr>
    </w:tbl>
    <w:p>
      <w:pPr>
        <w:pStyle w:val="Heading3"/>
      </w:pPr>
      <w:r>
        <w:t xml:space="preserve">4.3 Otvorene stavke i dužnici/povjerioci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rPr>
          <w:tblHeader/>
        </w:trP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Stavka menija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Objašnjenje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Otvorene stavke…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Pregled nezatvorenih (neplaćenih/nenaplaćenih) stavki po analitici.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Najveći dužnici/potraživaci…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Rang-lista komitenata po najvećem dugu odnosno potraživanju.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Kupci neplaćeno istekla valuta…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Kupci kod kojih je istekao rok plaćanja (valuta), a potraživanje nije naplaćeno.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Dobavljači neplaćeno istekla valuta…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Dobavljači kod kojih je istekao rok plaćanja, a obaveza nije plaćena.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Pregled prometa po proizvođačima…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Analiza prometa po proizvođaču robe, na nivou Glavne knjige.</w:t>
            </w:r>
          </w:p>
        </w:tc>
      </w:tr>
    </w:tbl>
    <w:p>
      <w:pPr>
        <w:pStyle w:val="Heading3"/>
      </w:pPr>
      <w:r>
        <w:t xml:space="preserve">4.4 Automatika, PDV i kontrola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rPr>
          <w:tblHeader/>
        </w:trP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Stavka menija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Objašnjenje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Podešenja Automatike…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Podešavanje pravila po kojima se dokumenti iz drugih modula automatski knjiže (konta, analitika po tipu dokumenta i sl.).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Automatsko Knjiženje Maloprodaje…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Automatsko knjiženje dokumenata iz modula Robno – Maloprodaja (vidi poglavlje 5).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Automatsko Knjiženje Veleprodaje…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Automatsko knjiženje dokumenata iz modula Robno – Veleprodaja.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Automatsko knjiženje materijala i usluga…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Automatsko knjiženje dokumenata iz modula Materijalno.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Automatsko knjiženje Ostalo…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Automatsko knjiženje dokumenata iz modula Ostali dokumenti (avansni računi, izlazni/ulazni računi-ostalo, knjižna obavijest…).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Automatsko knjiženje Blagajne…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Automatsko knjiženje naloga blagajni iz modula Blagajna (Dio 3).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Automatsko knjiženje izvoda…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Automatsko knjiženje bankovnih izvoda.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Automatsko zatvaranje konta…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Automatsko zatvaranje (kompenzacija) otvorenih stavki na kontu.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PDV Prijava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Priprema podataka i obrazac za prijavu PDV-a.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Kontrola knjiženja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Provjera ispravnosti i ravnoteže knjiženja (duguje = potražuje).</w:t>
            </w:r>
          </w:p>
        </w:tc>
      </w:tr>
    </w:tbl>
    <w:p>
      <w:pPr>
        <w:pStyle w:val="Heading1"/>
      </w:pPr>
      <w:r>
        <w:t xml:space="preserve">5. Automatsko knjiženje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Umjesto ručnog unosa naloga za svaki pojedinačni dokument, program može automatski generisati odgovarajuća knjiženja za cijeli opseg dokumenata iz drugih modula, na osnovu pravila definisanih u Podešenja Automatike…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Dijalog Automatsko Knjiženje je zajednički za sve module (Maloprodaja, Veleprodaja, Materijal i usluge, Ostalo, Blagajna, Izvodi) – razlikuje se samo spisak Vrsta dokumenta koji se nudi:</w:t>
      </w:r>
    </w:p>
    <w:p>
      <w:pPr>
        <w:spacing w:after="80" w:before="120"/>
        <w:jc w:val="center"/>
      </w:pPr>
      <w:r>
        <w:drawing>
          <wp:inline distT="0" distB="0" distL="0" distR="0">
            <wp:extent cx="4000500" cy="1028700"/>
            <wp:effectExtent t="0" r="0" b="0" l="0"/>
            <wp:docPr id="1" name="Automatsko Knjiženje" descr="Automatsko Knjiženje" title="Automatsko Knjižen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3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80"/>
        <w:jc w:val="center"/>
      </w:pPr>
      <w:r>
        <w:rPr>
          <w:i/>
          <w:iCs/>
          <w:color w:val="555555"/>
          <w:sz w:val="18"/>
          <w:szCs w:val="18"/>
        </w:rPr>
        <w:t xml:space="preserve">Slika 5 – Dijalog Automatsko Knjiženje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Vrsta dokumenta – tip dokumenta iz odabranog modula koji se knjiži (vidi primjere ispod).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Objekat – MP/VP objekat, skladište ili blagajna, zavisno od modula.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Od broja, Do broja – opseg brojeva dokumenata koji se obuhvataju ovim knjiženjem.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Knjiži, Odustani – pokreće odnosno otkazuje automatsko knjiženje.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Primjer spiska Vrsta dokumenta za Automatsko Knjiženje Maloprodaje:</w:t>
      </w:r>
    </w:p>
    <w:p>
      <w:pPr>
        <w:spacing w:after="80" w:before="120"/>
        <w:jc w:val="center"/>
      </w:pPr>
      <w:r>
        <w:drawing>
          <wp:inline distT="0" distB="0" distL="0" distR="0">
            <wp:extent cx="3619500" cy="2352675"/>
            <wp:effectExtent t="0" r="0" b="0" l="0"/>
            <wp:docPr id="1" name="Automatsko Knjiženje – Maloprodaja, vrste dokumenata" descr="Automatsko Knjiženje – Maloprodaja, vrste dokumenata" title="Automatsko Knjiženje – Maloprodaja, vrste dokumen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4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80"/>
        <w:jc w:val="center"/>
      </w:pPr>
      <w:r>
        <w:rPr>
          <w:i/>
          <w:iCs/>
          <w:color w:val="555555"/>
          <w:sz w:val="18"/>
          <w:szCs w:val="18"/>
        </w:rPr>
        <w:t xml:space="preserve">Slika 6 – Vrste dokumenata za automatsko knjiženje maloprodaje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Ovaj spisak odgovara tipovima dokumenata robnog modula iz Dio 1, samo sa nazivima prilagođenim za MP (npr. „Izlaz robe iz MP (račun/paragon)“, „Relokacija robe (u materijal) iz MP“, „Dužnički račun“, „Računi za odgodu u MP“, „Interni racun u pos./nepos. svrhe MP“).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Primjer spiska Vrsta dokumenta za Automatsko knjiženje Ostalo:</w:t>
      </w:r>
    </w:p>
    <w:p>
      <w:pPr>
        <w:spacing w:after="80" w:before="120"/>
        <w:jc w:val="center"/>
      </w:pPr>
      <w:r>
        <w:drawing>
          <wp:inline distT="0" distB="0" distL="0" distR="0">
            <wp:extent cx="4000500" cy="1390650"/>
            <wp:effectExtent t="0" r="0" b="0" l="0"/>
            <wp:docPr id="1" name="Automatsko Knjiženje – Ostalo, vrste dokumenata" descr="Automatsko Knjiženje – Ostalo, vrste dokumenata" title="Automatsko Knjiženje – Ostalo, vrste dokumen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5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80"/>
        <w:jc w:val="center"/>
      </w:pPr>
      <w:r>
        <w:rPr>
          <w:i/>
          <w:iCs/>
          <w:color w:val="555555"/>
          <w:sz w:val="18"/>
          <w:szCs w:val="18"/>
        </w:rPr>
        <w:t xml:space="preserve">Slika 7 – Vrste dokumenata za automatsko knjiženje Ostalo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Ovo su tipovi dokumenata iz modula Ostali dokumenti: Avansni račun kupcu, Storno izlaznog avansa, Izlazni račun-ostalo, Ulazni račun-ostalo, Storno Izlaznog računa-ostalo, Knjižna obavijest.</w:t>
      </w:r>
    </w:p>
    <w:p>
      <w:pPr>
        <w:pBdr>
          <w:left w:val="single" w:color="1F4E5F" w:sz="12" w:space="8"/>
        </w:pBdr>
        <w:spacing w:after="160" w:before="120"/>
        <w:ind w:left="120"/>
      </w:pPr>
      <w:r>
        <w:rPr>
          <w:i/>
          <w:iCs/>
          <w:color w:val="1F4E5F"/>
        </w:rPr>
        <w:t xml:space="preserve">Modul Ostali dokumenti nije zaseban dio ovog uputstva (još) – dokumentovan je samo posredno, kroz ovaj spisak vrsta za automatsko knjiženje. Javi ako treba da napravimo zaseban dio za njega.</w:t>
      </w:r>
    </w:p>
    <w:p>
      <w:pPr>
        <w:pStyle w:val="Heading1"/>
      </w:pPr>
      <w:r>
        <w:t xml:space="preserve">6. Pomoćni alat „Izvještaji“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Posebni prozor Izvještaji okuplja veći broj finansijskih izvještaja na jednom mjestu, sa meni-trakom Šifrarnici / Kartice-IOS / Zatvori:</w:t>
      </w:r>
    </w:p>
    <w:p>
      <w:pPr>
        <w:spacing w:after="80" w:before="120"/>
        <w:jc w:val="center"/>
      </w:pPr>
      <w:r>
        <w:drawing>
          <wp:inline distT="0" distB="0" distL="0" distR="0">
            <wp:extent cx="3429000" cy="4429125"/>
            <wp:effectExtent t="0" r="0" b="0" l="0"/>
            <wp:docPr id="1" name="Izvještaji – spisak" descr="Izvještaji – spisak" title="Izvještaji – spis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6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80"/>
        <w:jc w:val="center"/>
      </w:pPr>
      <w:r>
        <w:rPr>
          <w:i/>
          <w:iCs/>
          <w:color w:val="555555"/>
          <w:sz w:val="18"/>
          <w:szCs w:val="18"/>
        </w:rPr>
        <w:t xml:space="preserve">Slika 8 – Prozor Izvještaji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Spisak dostupnih izvještaja: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Bruto bilans klase / Grupe / Sintetike / Konta / analitike – bruto bilans na različitim nivoima kontnog plana (od najopćenitijeg – klase, do najdetaljnijeg – analitike).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Nalozi zbirno – zbirni pregled naloga.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KIF, KUF – knjiga izlaznih, odnosno ulaznih faktura.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PDV Prijava – obrazac prijave PDV-a.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Kartica Analitike – kartica kretanja po analitici.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PS Kupci, PS Dobavljači – (pretpostavljeno: Pregled stanja/Promjena stanja) kupaca, odnosno dobavljača.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Kif Exel, Kuf Exel, KIF CSV, KUF CSV – izvoz KIF/KUF podataka u Excel odnosno CSV format.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Kartica konta – kartica kretanja po kontu.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Dnevnik knjiženja – isto kao u meniju Pregled Glavne knjige (poglavlje 4.1).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Test – vjerovatno testna/razvojna stavka, bez poslovne svrhe za krajnjeg korisnika.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Ispod liste se bira Mjesec za KIF/KUF, a linkovi Priprema za slanje KIF KUF i Slanje KIF KUF pripremaju odnosno šalju podatke (npr. poreskoj upravi) za odabrani mjesec:</w:t>
      </w:r>
    </w:p>
    <w:p>
      <w:pPr>
        <w:spacing w:after="80" w:before="120"/>
        <w:jc w:val="center"/>
      </w:pPr>
      <w:r>
        <w:drawing>
          <wp:inline distT="0" distB="0" distL="0" distR="0">
            <wp:extent cx="4000500" cy="2038350"/>
            <wp:effectExtent t="0" r="0" b="0" l="0"/>
            <wp:docPr id="1" name="Izvještaji – izbor mjeseca za KIF/KUF" descr="Izvještaji – izbor mjeseca za KIF/KUF" title="Izvještaji – izbor mjeseca za KIF/KU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80"/>
        <w:jc w:val="center"/>
      </w:pPr>
      <w:r>
        <w:rPr>
          <w:i/>
          <w:iCs/>
          <w:color w:val="555555"/>
          <w:sz w:val="18"/>
          <w:szCs w:val="18"/>
        </w:rPr>
        <w:t xml:space="preserve">Slika 9 – Izbor izvještaja i mjeseca za KIF/KUF</w:t>
      </w:r>
    </w:p>
    <w:p>
      <w:pPr>
        <w:pBdr>
          <w:left w:val="single" w:color="1F4E5F" w:sz="12" w:space="8"/>
        </w:pBdr>
        <w:spacing w:after="160" w:before="120"/>
        <w:ind w:left="120"/>
      </w:pPr>
      <w:r>
        <w:rPr>
          <w:i/>
          <w:iCs/>
          <w:color w:val="1F4E5F"/>
        </w:rPr>
        <w:t xml:space="preserve">Dugme bez naziva („button1“) pored linkova za slanje KIF/KUF vjerovatno je u razvoju ili bez dodijeljene funkcije u trenutku snimanja ekrana – nije objašnjeno u ovom uputstvu.</w:t>
      </w:r>
    </w:p>
    <w:p>
      <w:pPr>
        <w:pStyle w:val="Heading1"/>
      </w:pPr>
      <w:r>
        <w:t xml:space="preserve">7. Koraci – ručni unos naloga</w:t>
      </w:r>
    </w:p>
    <w:p>
      <w:pPr>
        <w:spacing w:after="160"/>
      </w:pPr>
      <w:r>
        <w:rPr>
          <w:b w:val="false"/>
          <w:bCs w:val="false"/>
          <w:i w:val="false"/>
          <w:iCs w:val="false"/>
        </w:rPr>
        <w:t xml:space="preserve">Primjer: knjiženje izvoda banke kojim su naplaćena tri kupca.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Otvorite Finansije → Glavna knjiga i kliknite Novi za novi nalog.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Unesite Opis naloga (npr. „IZVOD BANKE BR. 1“) i Skraćeni naziv.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Za prvu stavku unesite Konto i Analitiku kupca, te iznos u polje Potražuje (razduženje potraživanja).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Unesite Opis i Poziv na broj (npr. broj izvoda), pa kliknite Dodaj.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Ponovite za sve kupce/stavke sa izvoda.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Na kraju dodajte zbirnu stavku na konto žiro-računa, sa iznosom u polje Duguje koji odgovara zbiru prethodnih stavki.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Provjerite da Saldo bude 0,00 (Ukupno duguje = Ukupno potražuje).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Kliknite Snimi.</w:t>
      </w:r>
    </w:p>
    <w:p>
      <w:pPr>
        <w:pStyle w:val="Heading1"/>
      </w:pPr>
      <w:r>
        <w:t xml:space="preserve">8. Koraci – automatsko knjiženje dokumenata</w:t>
      </w:r>
    </w:p>
    <w:p>
      <w:pPr>
        <w:pStyle w:val="ListParagraph"/>
        <w:numPr>
          <w:ilvl w:val="0"/>
          <w:numId w:val="4"/>
        </w:numPr>
        <w:spacing w:after="80"/>
      </w:pPr>
      <w:r>
        <w:t xml:space="preserve">Otvorite Finansije → Glavna knjiga.</w:t>
      </w:r>
    </w:p>
    <w:p>
      <w:pPr>
        <w:pStyle w:val="ListParagraph"/>
        <w:numPr>
          <w:ilvl w:val="0"/>
          <w:numId w:val="4"/>
        </w:numPr>
        <w:spacing w:after="80"/>
      </w:pPr>
      <w:r>
        <w:t xml:space="preserve">U meniju Pregled izaberite odgovarajuću stavku Automatsko knjiženje… (Maloprodaje, Veleprodaje, materijala i usluga, Ostalo, Blagajne ili izvoda).</w:t>
      </w:r>
    </w:p>
    <w:p>
      <w:pPr>
        <w:pStyle w:val="ListParagraph"/>
        <w:numPr>
          <w:ilvl w:val="0"/>
          <w:numId w:val="4"/>
        </w:numPr>
        <w:spacing w:after="80"/>
      </w:pPr>
      <w:r>
        <w:t xml:space="preserve">U dijalogu izaberite Vrstu dokumenta i Objekat (MP/VP objekat, skladište ili blagajnu).</w:t>
      </w:r>
    </w:p>
    <w:p>
      <w:pPr>
        <w:pStyle w:val="ListParagraph"/>
        <w:numPr>
          <w:ilvl w:val="0"/>
          <w:numId w:val="4"/>
        </w:numPr>
        <w:spacing w:after="80"/>
      </w:pPr>
      <w:r>
        <w:t xml:space="preserve">Unesite opseg Od broja–Do broja dokumenata koje želite knjižiti.</w:t>
      </w:r>
    </w:p>
    <w:p>
      <w:pPr>
        <w:pStyle w:val="ListParagraph"/>
        <w:numPr>
          <w:ilvl w:val="0"/>
          <w:numId w:val="4"/>
        </w:numPr>
        <w:spacing w:after="80"/>
      </w:pPr>
      <w:r>
        <w:t xml:space="preserve">Kliknite Knjiži. Program generiše odgovarajuće naloge u Glavnoj knjizi na osnovu podešenih pravila automatike.</w:t>
      </w:r>
    </w:p>
    <w:p>
      <w:pPr>
        <w:pStyle w:val="ListParagraph"/>
        <w:numPr>
          <w:ilvl w:val="0"/>
          <w:numId w:val="4"/>
        </w:numPr>
        <w:spacing w:after="80"/>
      </w:pPr>
      <w:r>
        <w:t xml:space="preserve">Provjerite nastale naloge (npr. preko Dnevnik knjiženja ili Kontrola knjiženja).</w:t>
      </w:r>
    </w:p>
    <w:p>
      <w:pPr>
        <w:pStyle w:val="Heading1"/>
      </w:pPr>
      <w:r>
        <w:t xml:space="preserve">Dodatak A – Otvorena pitanja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Razlika između Glavna knjiga i Glavna knjiga 2026+ u glavnom meniju (poglavlje 1).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Tačno značenje kolone TA u tabeli stavki naloga (poglavlje 2.2).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Da li je modul Ostali dokumenti potreban kao zaseban dio uputstva (poglavlje 5).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Funkcija neimenovanog dugmeta („button1“) u prozoru Izvještaji (poglavlje 6).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88888"/>
        <w:sz w:val="16"/>
        <w:szCs w:val="16"/>
      </w:rPr>
      <w:t xml:space="preserve">Stranica </w:t>
    </w:r>
    <w:r>
      <w:rPr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888888"/>
        <w:sz w:val="16"/>
        <w:szCs w:val="16"/>
      </w:rPr>
      <w:t xml:space="preserve">Finans – Uputstvo za korisnike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  <w:lvl w:ilvl="1" w15:tentative="1">
      <w:start w:val="1"/>
      <w:numFmt w:val="bullet"/>
      <w:lvlText w:val="‒"/>
      <w:lvlJc w:val="left"/>
      <w:pPr>
        <w:ind w:left="98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20" w:before="360"/>
      <w:outlineLvl w:val="0"/>
    </w:pPr>
    <w:rPr>
      <w:rFonts w:ascii="Arial" w:cs="Arial" w:eastAsia="Arial" w:hAnsi="Arial"/>
      <w:b/>
      <w:bCs/>
      <w:color w:val="1F4E5F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60" w:before="300"/>
      <w:outlineLvl w:val="1"/>
    </w:pPr>
    <w:rPr>
      <w:rFonts w:ascii="Arial" w:cs="Arial" w:eastAsia="Arial" w:hAnsi="Arial"/>
      <w:b/>
      <w:bCs/>
      <w:color w:val="1F4E5F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20" w:before="220"/>
      <w:outlineLvl w:val="2"/>
    </w:pPr>
    <w:rPr>
      <w:rFonts w:ascii="Arial" w:cs="Arial" w:eastAsia="Arial" w:hAnsi="Arial"/>
      <w:b/>
      <w:bCs/>
      <w:color w:val="3A6B7D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8268c98cdb447291ac54a2384bb8d1dcdf9a78c7.png"/><Relationship Id="rId10" Type="http://schemas.openxmlformats.org/officeDocument/2006/relationships/image" Target="media/44e1d3b7022997434d6c86c964df8bfc2d416df1.png"/><Relationship Id="rId11" Type="http://schemas.openxmlformats.org/officeDocument/2006/relationships/image" Target="media/e428fcae658b13d3fd4712f486459e37258a1670.png"/><Relationship Id="rId12" Type="http://schemas.openxmlformats.org/officeDocument/2006/relationships/image" Target="media/fdffcff15e3a416b618f1b7cffabc5bbb184fc44.png"/><Relationship Id="rId13" Type="http://schemas.openxmlformats.org/officeDocument/2006/relationships/image" Target="media/72978b98942992c631b831d56a2c231cb08fd050.png"/><Relationship Id="rId14" Type="http://schemas.openxmlformats.org/officeDocument/2006/relationships/image" Target="media/380a27b51f1585c5a35c087f382dd339f8197597.png"/><Relationship Id="rId15" Type="http://schemas.openxmlformats.org/officeDocument/2006/relationships/image" Target="media/ad76b22c95b4a160e83d3330072daec36a217f9d.png"/><Relationship Id="rId16" Type="http://schemas.openxmlformats.org/officeDocument/2006/relationships/image" Target="media/b34b603ea8abf44597b95bf5796873035b1a8f0d.png"/><Relationship Id="rId17" Type="http://schemas.openxmlformats.org/officeDocument/2006/relationships/image" Target="media/be80f0a9496d60382733ca86feffc20f94ef833b.png"/><Relationship Id="rId1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2026-06-26T09:43:00.173Z</dcterms:created>
  <dcterms:modified xsi:type="dcterms:W3CDTF">2026-06-26T09:43:00.173Z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