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  <w:jc w:val="center"/>
      </w:pPr>
      <w:r>
        <w:rPr>
          <w:b/>
          <w:bCs/>
          <w:color w:val="1F4E5F"/>
          <w:sz w:val="64"/>
          <w:szCs w:val="64"/>
        </w:rPr>
        <w:t xml:space="preserve">FINANS</w:t>
      </w:r>
    </w:p>
    <w:p>
      <w:pPr>
        <w:spacing w:after="600"/>
        <w:jc w:val="center"/>
      </w:pPr>
      <w:r>
        <w:rPr>
          <w:color w:val="3A6B7D"/>
          <w:sz w:val="30"/>
          <w:szCs w:val="30"/>
        </w:rPr>
        <w:t xml:space="preserve">Uputstvo za korištenje programa</w:t>
      </w:r>
    </w:p>
    <w:p>
      <w:pPr>
        <w:spacing w:after="100"/>
        <w:jc w:val="center"/>
      </w:pPr>
      <w:r>
        <w:rPr>
          <w:b/>
          <w:bCs/>
          <w:sz w:val="24"/>
          <w:szCs w:val="24"/>
        </w:rPr>
        <w:t xml:space="preserve">Dio 3</w:t>
      </w:r>
    </w:p>
    <w:p>
      <w:pPr>
        <w:spacing w:after="1600"/>
        <w:jc w:val="center"/>
      </w:pPr>
      <w:r>
        <w:rPr>
          <w:sz w:val="24"/>
          <w:szCs w:val="24"/>
        </w:rPr>
        <w:t xml:space="preserve">Modul: Blagajna (gotovinsko poslovanje)</w:t>
      </w:r>
    </w:p>
    <w:p>
      <w:r>
        <w:br w:type="page"/>
      </w:r>
    </w:p>
    <w:p>
      <w:pPr>
        <w:pStyle w:val="Heading1"/>
      </w:pPr>
      <w:r>
        <w:t xml:space="preserve">Sadržaj</w:t>
      </w:r>
    </w:p>
    <w:sdt>
      <w:sdtPr>
        <w:alias w:val="Sadržaj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Pregled modula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Modul Blagajna koristi se za evidenciju gotovinskih uplata i isplata (gotovinsko poslovanje), kroz dokument koji se zove Nalog blagajni. Otvara se iz glavnog menija programa: Finansije → Blagajna.</w:t>
      </w:r>
    </w:p>
    <w:p>
      <w:pPr>
        <w:spacing w:after="80" w:before="120"/>
        <w:jc w:val="center"/>
      </w:pPr>
      <w:r>
        <w:drawing>
          <wp:inline distT="0" distB="0" distL="0" distR="0">
            <wp:extent cx="3048000" cy="1171575"/>
            <wp:effectExtent t="0" r="0" b="0" l="0"/>
            <wp:docPr id="1" name="Glavni meni – Finansije" descr="Glavni meni – Finansije" title="Glavni meni – Finans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1 – Glavni meni Finansije sa stavkom Blagajna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Kao i kod modula Robno i Materijalno, i ovdje postoji jedna zajednička forma („Nalog blagajni“) koja se koristi za obje vrste gotovinskih naloga – razlika je samo u polju Tip dokumenta i u tome koja je Blagajna (kasa) odabrana.</w:t>
      </w:r>
    </w:p>
    <w:p>
      <w:pPr>
        <w:pStyle w:val="Heading1"/>
      </w:pPr>
      <w:r>
        <w:t xml:space="preserve">2. Otvaranje dokumenta i tipovi naloga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Forma za unos naloga blagajni ima samo dva tipa dokumenta, vidljiva u padajućoj listi Tip dokumenta:</w:t>
      </w:r>
    </w:p>
    <w:p>
      <w:pPr>
        <w:spacing w:after="80" w:before="120"/>
        <w:jc w:val="center"/>
      </w:pPr>
      <w:r>
        <w:drawing>
          <wp:inline distT="0" distB="0" distL="0" distR="0">
            <wp:extent cx="3619500" cy="1609725"/>
            <wp:effectExtent t="0" r="0" b="0" l="0"/>
            <wp:docPr id="1" name="Tip dokumenta – Blagajna" descr="Tip dokumenta – Blagajna" title="Tip dokumenta – Blaga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2 – Padajuća lista Tip dokumenta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Tip dokumenta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Nalog blagajni da naplati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Gotovinska uplata u blagajnu (npr. pazar, naplata gotovinom od kupca, polog vraćen iz banke).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Nalog blagajni da isplati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Gotovinska isplata iz blagajne (npr. polog pazara na banku, plaćanje poštarine, isplata gotovine dobavljaču).</w:t>
            </w:r>
          </w:p>
        </w:tc>
      </w:tr>
    </w:tbl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Polje Blagajna određuje kasu (npr. „Blagajna br. 1“) na koju se nalog odnosi; dugme „+“ otvara šifarnik blagajni za dodavanje nove kase.</w:t>
      </w:r>
    </w:p>
    <w:p>
      <w:pPr>
        <w:pStyle w:val="Heading1"/>
      </w:pPr>
      <w:r>
        <w:t xml:space="preserve">3. Izgled forme „Nalog blagajni“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2352675"/>
            <wp:effectExtent t="0" r="0" b="0" l="0"/>
            <wp:docPr id="1" name="Forma Nalog blagajni" descr="Forma Nalog blagajni" title="Forma Nalog blagaj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3 – Forma za unos naloga blagajni</w:t>
      </w:r>
    </w:p>
    <w:p>
      <w:pPr>
        <w:pStyle w:val="Heading3"/>
      </w:pPr>
      <w:r>
        <w:t xml:space="preserve">3.1 Zaglavlje (Tip i stanje blagajne)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Tip dokumenta, Blagajna – vidi poglavlje 2.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€(Štampa) – kvačica da se nalog odštampa i u eurima.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Stanje blagajne – trenutno gotovinsko stanje odabrane blagajne (veliki broj, npr. 322,76), sa linkom „? Uputstvo“ za pomoć.</w:t>
      </w:r>
    </w:p>
    <w:p>
      <w:pPr>
        <w:pStyle w:val="Heading3"/>
      </w:pPr>
      <w:r>
        <w:t xml:space="preserve">3.2 Podaci o dokumentu i komitentu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Broj – redni broj naloga, sa dugmićima Novi, Idi na…, Snimi nalog, Štampa++ i Napomena…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Komitent – tip komitenta (padajuća lista, vidi dalje) + šifra, dugmići „+“ i „…“ za izbor/dodavanje, dugme Fin stanje za provjeru finansijskog stanja, i prikaz naziva komitenta.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Datum naloga, Opis naloga, Poziv na broj, Datum poziva/Valuta – osnovni podaci o nalogu.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Tip komitenta se bira iz male padajuće liste pored šifre komitenta:</w:t>
      </w:r>
    </w:p>
    <w:p>
      <w:pPr>
        <w:spacing w:after="80" w:before="120"/>
        <w:jc w:val="center"/>
      </w:pPr>
      <w:r>
        <w:drawing>
          <wp:inline distT="0" distB="0" distL="0" distR="0">
            <wp:extent cx="3810000" cy="1819275"/>
            <wp:effectExtent t="0" r="0" b="0" l="0"/>
            <wp:docPr id="1" name="Tip komitenta – Blagajna" descr="Tip komitenta – Blagajna" title="Tip komitenta – Blaga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4 – Padajuća lista Tip komitenta (K, M, N, S, U, V)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Tačno značenje svakog slova (K, M, N, S, U, V) nije potvrđeno u ovom uputstvu. Iz primjera u izvještajima vidi se da se npr. pod tipom „U“ vode i fizička lica (Mirsada Pestalić, Fikret Peštalić) i stavke poput „Ulaz sa banke RFB Devis“ – javi tačna značenja po slovu, pa ću dopuniti.</w:t>
      </w:r>
    </w:p>
    <w:p>
      <w:pPr>
        <w:pStyle w:val="Heading3"/>
      </w:pPr>
      <w:r>
        <w:t xml:space="preserve">3.3 Stavka naloga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Opis – tekstualni opis stavke naloga.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Iznos – iznos stavke; dugme Rate otvara unos plaćanja na rate, ako je primjenjivo.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PDV koji se može odbiti – iznos/postotak PDV-a koji se po ovoj stavci može odbiti kao ulazni PDV.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Analitika – šifra analitičkog konta/evidencije za ovu stavku.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Ukupno za nalog, Valuta – zbir svih stavki naloga i, ako je relevantno, valuta plaćanja.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Dodaj, U selektirani, Briši selektirani, Briši sve – upravljanje stavkama naloga.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Tabela stavki (Rbr, Opis, Iznos, Rate, Konto, KonTo N, Neoporezivo) – prikaz svih stavki unesenih na nalog.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Posljednje dvije kolone u tabeli na ekranu prikazuju se kao „Neopreziv“ (vjerovatno skraćeno/odsječeno od „Neoporezivo“) – tačan naziv i značenje (po koloni) nisu potvrđeni; javi ako treba preciznije.</w:t>
      </w:r>
    </w:p>
    <w:p>
      <w:pPr>
        <w:pStyle w:val="Heading1"/>
      </w:pPr>
      <w:r>
        <w:t xml:space="preserve">4. Meni „Šifarnik“</w:t>
      </w:r>
    </w:p>
    <w:p>
      <w:pPr>
        <w:spacing w:after="80" w:before="120"/>
        <w:jc w:val="center"/>
      </w:pPr>
      <w:r>
        <w:drawing>
          <wp:inline distT="0" distB="0" distL="0" distR="0">
            <wp:extent cx="2857500" cy="1847850"/>
            <wp:effectExtent t="0" r="0" b="0" l="0"/>
            <wp:docPr id="1" name="Meni Šifarnik – Blagajna" descr="Meni Šifarnik – Blagajna" title="Meni Šifarnik – Blaga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5 – Meni Šifarnik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Stavka menija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blagajni…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Spisak svih blagajni (kasa) u firmi; ovdje se dodaju/ažuriraju kase poput „Blagajna br. 1“.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blagajničkih komitenata…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Spisak komitenata specifičnih za blagajničko poslovanje (vidi tip komitenta, poglavlje 3.2).</w:t>
            </w:r>
          </w:p>
        </w:tc>
      </w:tr>
    </w:tbl>
    <w:p>
      <w:pPr>
        <w:pStyle w:val="Heading1"/>
      </w:pPr>
      <w:r>
        <w:t xml:space="preserve">5. Pregledi i izvještaji</w:t>
      </w:r>
    </w:p>
    <w:p>
      <w:pPr>
        <w:pStyle w:val="Heading3"/>
      </w:pPr>
      <w:r>
        <w:t xml:space="preserve">5.1 Kartica komitenta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Otvara pregled svih naloga blagajni za jednog ili sve komitente, u izabranom periodu:</w:t>
      </w:r>
    </w:p>
    <w:p>
      <w:pPr>
        <w:spacing w:after="80" w:before="120"/>
        <w:jc w:val="center"/>
      </w:pPr>
      <w:r>
        <w:drawing>
          <wp:inline distT="0" distB="0" distL="0" distR="0">
            <wp:extent cx="3429000" cy="1219200"/>
            <wp:effectExtent t="0" r="0" b="0" l="0"/>
            <wp:docPr id="1" name="Kartica komitenta – Blagajna" descr="Kartica komitenta – Blagajna" title="Kartica komitenta – Blaga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6 – Dijalog Kartica komitenta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Prikaži sve naloge sumarno / Prikaži naloge samo za jednog komitenta – obim izvještaja.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Komitent – tip i šifra komitenta, ako je izabrana druga opcija.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Od datuma, Do datuma – period izvještaja.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Prikaži, Odustani – pokreće odnosno otkazuje izvještaj.</w:t>
      </w:r>
    </w:p>
    <w:p>
      <w:pPr>
        <w:pStyle w:val="Heading3"/>
      </w:pPr>
      <w:r>
        <w:t xml:space="preserve">5.2 Blagajnički izvještaj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Hronološki pregled svih uplata i isplata u blagajni (blagajnički dnevnik), sa tekućim saldom: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3457575"/>
            <wp:effectExtent t="0" r="0" b="0" l="0"/>
            <wp:docPr id="1" name="Blagajnički izvještaj" descr="Blagajnički izvještaj" title="Blagajnički izvješt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7 – Primjer odštampanog Blagajničkog izvještaja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Rbr, DATUM, BROJ – redni broj, datum i broj naloga (npr. B1/1-5, B1/51-3).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OPIS DOKUMENTA – vrsta naloga (npr. pazar, POLOG PAZARA, NAPLATA GOTOVINOM, POLOG NA BANKU, pošta).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Šifra, Naziv komitenta – komitent vezan za nalog (npr. M1 za maloprodajni objekat, K… za kupca, N1 za poštarinu).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ULAZ, IZLAZ, SALDO – iznos uplate, iznos isplate i tekući saldo blagajne nakon tog naloga.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Tipični primjeri stavki vidljivi u izvještaju: pazar (dnevni utržak) i NAPLATA GOTOVINOM povećavaju stanje blagajne (ULAZ), dok POLOG PAZARA/POLOG NA BANKU (gotovina odnesena u banku) i pošta (poštarina) smanjuju stanje (IZLAZ).</w:t>
      </w:r>
    </w:p>
    <w:p>
      <w:pPr>
        <w:pStyle w:val="Heading3"/>
      </w:pPr>
      <w:r>
        <w:t xml:space="preserve">5.3 Bilans blagajničkih komitenata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Zbirni pregled naplate i isplate po svakom komitentu blagajne, za odabrani tip analitike:</w:t>
      </w:r>
    </w:p>
    <w:p>
      <w:pPr>
        <w:spacing w:after="80" w:before="120"/>
        <w:jc w:val="center"/>
      </w:pPr>
      <w:r>
        <w:drawing>
          <wp:inline distT="0" distB="0" distL="0" distR="0">
            <wp:extent cx="4000500" cy="1895475"/>
            <wp:effectExtent t="0" r="0" b="0" l="0"/>
            <wp:docPr id="1" name="Bilans blagajničkih komitenata" descr="Bilans blagajničkih komitenata" title="Bilans blagajničkih komiten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8 – Primjer odštampanog Bilansa blagajničkih komitenata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Rbr, Šifra, Naziv komitenta – redni broj i identifikacija komitenta.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NAPLATA, ISPLATA, SALDO – zbirni iznosi za period izvještaja, po komitentu.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UKUPNO – zbirni red za sve komitente.</w:t>
      </w:r>
    </w:p>
    <w:p>
      <w:pPr>
        <w:pStyle w:val="Heading1"/>
      </w:pPr>
      <w:r>
        <w:t xml:space="preserve">6. Koraci – unos naloga blagajni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Primjer: unos uplate gotovine u blagajnu (npr. naplata od kupca).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meniju izaberite Finansije → Blagajna.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polju Tip dokumenta izaberite Nalog blagajni da naplati.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Izaberite Blagajnu (kasu) na koju se uplata odnosi.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Izaberite tip i šifru Komitenta (npr. kupac koji uplaćuje gotovinu).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Provjerite/unesite Datum naloga.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polje Opis unesite opis stavke, a u Iznos unesite iznos uplate.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Kliknite Dodaj da stavka uđe u tabelu. Ponovite za sve stavke naloga.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Provjerite Ukupno za nalog, te kliknite Snimi nalog.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Po potrebi odštampajte nalog dugmetom Štampa++.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Postupak za isplatu (Nalog blagajni da isplati) je identičan, samo se u koraku 2 bira taj tip dokumenta.</w:t>
      </w:r>
    </w:p>
    <w:p>
      <w:pPr>
        <w:pStyle w:val="Heading1"/>
      </w:pPr>
      <w:r>
        <w:t xml:space="preserve">Dodatak A – Otvorena pitanja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Sljedeći detalji nisu potvrđeni u ovom uputstvu i bilo bi dobro da se dopune/isprave: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Tačno značenje slova K, M, N, S, U, V u polju Tip komitenta (poglavlje 3.2).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Tačan naziv i značenje kolona koje se na ekranu prikazuju kao „Neopreziv“ u tabeli stavki naloga (poglavlje 3.3).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 li i kako se nalog blagajni automatski knjiži u Glavnu knjigu (kolone Konto / KonTo N u tabeli stavki nagovještavaju vezu, ali knjiženje nije posebno objašnjeno u ovom dijelu uputstva).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6"/>
        <w:szCs w:val="16"/>
      </w:rPr>
      <w:t xml:space="preserve">Stranica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6"/>
        <w:szCs w:val="16"/>
      </w:rPr>
      <w:t xml:space="preserve">Finans – Uputstvo za korisnike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‒"/>
      <w:lvlJc w:val="left"/>
      <w:pPr>
        <w:ind w:left="9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360"/>
      <w:outlineLvl w:val="0"/>
    </w:pPr>
    <w:rPr>
      <w:rFonts w:ascii="Arial" w:cs="Arial" w:eastAsia="Arial" w:hAnsi="Arial"/>
      <w:b/>
      <w:bCs/>
      <w:color w:val="1F4E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20"/>
      <w:outlineLvl w:val="2"/>
    </w:pPr>
    <w:rPr>
      <w:rFonts w:ascii="Arial" w:cs="Arial" w:eastAsia="Arial" w:hAnsi="Arial"/>
      <w:b/>
      <w:bCs/>
      <w:color w:val="3A6B7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952a8a9c3c1f385747b78d25034ec7184a67aed.png"/><Relationship Id="rId10" Type="http://schemas.openxmlformats.org/officeDocument/2006/relationships/image" Target="media/f919b0c3783bce349eeb3fa6428c8247235ae4e3.png"/><Relationship Id="rId11" Type="http://schemas.openxmlformats.org/officeDocument/2006/relationships/image" Target="media/c5e0a6100e12b82c116e90551daa950a9eca9ec6.png"/><Relationship Id="rId12" Type="http://schemas.openxmlformats.org/officeDocument/2006/relationships/image" Target="media/d265d393e8386fda5284ca529330e4e086868609.png"/><Relationship Id="rId13" Type="http://schemas.openxmlformats.org/officeDocument/2006/relationships/image" Target="media/4ad41a051ae9618d7657980ed139830006a2d309.png"/><Relationship Id="rId14" Type="http://schemas.openxmlformats.org/officeDocument/2006/relationships/image" Target="media/65b0778cd88feb56680fefb479072333638ef087.png"/><Relationship Id="rId15" Type="http://schemas.openxmlformats.org/officeDocument/2006/relationships/image" Target="media/23bed9ccccfb77c8df9466e770e767f9ca2c5eba.png"/><Relationship Id="rId16" Type="http://schemas.openxmlformats.org/officeDocument/2006/relationships/image" Target="media/4b19f7c99ad1736221d7123a50ed52a237594bbc.png"/><Relationship Id="rId1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2026-06-26T09:05:21.240Z</dcterms:created>
  <dcterms:modified xsi:type="dcterms:W3CDTF">2026-06-26T09:05:21.252Z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